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drawing>
            <wp:inline distB="0" distL="0" distR="0" distT="0">
              <wp:extent cx="1609725" cy="150495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150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rFonts w:eastAsia="Batang"/>
          <w:iCs/>
          <w:sz w:val="44"/>
        </w:rPr>
        <w:t>UNIVERSIDAD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DE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BUENOS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AIRES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rFonts w:eastAsia="Batang"/>
          <w:iCs/>
          <w:sz w:val="44"/>
        </w:rPr>
        <w:t>FACULTAD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DE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FILOSOFIA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Y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LETRAS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Cs/>
          <w:sz w:val="44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44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DEPARTAMENTO:</w:t>
      </w:r>
      <w:r>
        <w:rPr>
          <w:rFonts w:eastAsia="Times New Roman"/>
          <w:iCs/>
          <w:sz w:val="32"/>
        </w:rPr>
        <w:t xml:space="preserve"> </w:t>
      </w:r>
      <w:r>
        <w:rPr>
          <w:iCs/>
          <w:sz w:val="32"/>
        </w:rPr>
        <w:t>LETRAS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SEMINARIO:</w:t>
      </w:r>
      <w:r>
        <w:rPr>
          <w:rFonts w:eastAsia="Times New Roman"/>
          <w:iCs/>
          <w:sz w:val="32"/>
        </w:rPr>
        <w:t xml:space="preserve"> La metáfora: teorías y usos en el discurso especializado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PROFESOR:</w:t>
      </w:r>
      <w:r>
        <w:rPr>
          <w:rFonts w:eastAsia="Times New Roman"/>
          <w:iCs/>
          <w:sz w:val="32"/>
        </w:rPr>
        <w:t xml:space="preserve"> Guiomar Elena Ciapuscio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CUATRIMESTRE:</w:t>
      </w:r>
      <w:r>
        <w:rPr>
          <w:rFonts w:eastAsia="Times New Roman"/>
          <w:iCs/>
          <w:sz w:val="32"/>
        </w:rPr>
        <w:t xml:space="preserve"> Verano 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AÑO:</w:t>
      </w:r>
      <w:r>
        <w:rPr>
          <w:rFonts w:eastAsia="Times New Roman"/>
          <w:iCs/>
          <w:sz w:val="32"/>
        </w:rPr>
        <w:t xml:space="preserve"> 2015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PROGRAMA</w:t>
      </w:r>
      <w:r>
        <w:rPr>
          <w:rFonts w:eastAsia="Times New Roman"/>
          <w:iCs/>
          <w:sz w:val="32"/>
        </w:rPr>
        <w:t xml:space="preserve"> </w:t>
      </w:r>
      <w:r>
        <w:rPr>
          <w:iCs/>
          <w:sz w:val="32"/>
        </w:rPr>
        <w:t>Nº: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both"/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both"/>
      </w:pPr>
      <w:r>
        <w:rPr>
          <w:i/>
          <w:iCs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UNIVERSIDAD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BUENOS</w:t>
      </w:r>
      <w:r>
        <w:rPr>
          <w:rFonts w:eastAsia="Times New Roman"/>
        </w:rPr>
        <w:t xml:space="preserve"> </w:t>
      </w:r>
      <w:r>
        <w:rPr/>
        <w:t>AIRES</w:t>
      </w:r>
    </w:p>
    <w:p>
      <w:pPr>
        <w:pStyle w:val="style0"/>
        <w:jc w:val="both"/>
      </w:pPr>
      <w:r>
        <w:rPr/>
        <w:t>FACULTAD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FILOSOFÍA</w:t>
      </w:r>
      <w:r>
        <w:rPr>
          <w:rFonts w:eastAsia="Times New Roman"/>
        </w:rPr>
        <w:t xml:space="preserve"> </w:t>
      </w:r>
      <w:r>
        <w:rPr/>
        <w:t>Y</w:t>
      </w:r>
      <w:r>
        <w:rPr>
          <w:rFonts w:eastAsia="Times New Roman"/>
        </w:rPr>
        <w:t xml:space="preserve"> </w:t>
      </w:r>
      <w:r>
        <w:rPr/>
        <w:t>LETRAS</w:t>
      </w:r>
    </w:p>
    <w:p>
      <w:pPr>
        <w:pStyle w:val="style0"/>
        <w:jc w:val="both"/>
      </w:pPr>
      <w:r>
        <w:rPr/>
        <w:t>DEPARTAMENTO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LETRAS</w:t>
      </w:r>
    </w:p>
    <w:p>
      <w:pPr>
        <w:pStyle w:val="style0"/>
        <w:jc w:val="both"/>
      </w:pPr>
      <w:r>
        <w:rPr/>
        <w:t>SEMINARIO:</w:t>
      </w:r>
      <w:r>
        <w:rPr>
          <w:rFonts w:eastAsia="Times New Roman"/>
        </w:rPr>
        <w:t xml:space="preserve"> La metáfora: teorías y usos en el discurso especializado</w:t>
      </w:r>
    </w:p>
    <w:p>
      <w:pPr>
        <w:pStyle w:val="style0"/>
        <w:jc w:val="both"/>
      </w:pPr>
      <w:r>
        <w:rPr/>
        <w:t>PROFESOR:</w:t>
      </w:r>
      <w:r>
        <w:rPr>
          <w:rFonts w:eastAsia="Times New Roman"/>
        </w:rPr>
        <w:t xml:space="preserve"> </w:t>
      </w:r>
      <w:r>
        <w:rPr/>
        <w:t>Guiomar Elena Ciapuscio</w:t>
      </w:r>
    </w:p>
    <w:p>
      <w:pPr>
        <w:pStyle w:val="style0"/>
        <w:jc w:val="both"/>
      </w:pPr>
      <w:r>
        <w:rPr/>
        <w:t>Verano de 2015</w:t>
      </w:r>
    </w:p>
    <w:p>
      <w:pPr>
        <w:pStyle w:val="style0"/>
        <w:jc w:val="both"/>
      </w:pPr>
      <w:r>
        <w:rPr/>
        <w:t>PROGRAMA</w:t>
      </w:r>
      <w:r>
        <w:rPr>
          <w:rFonts w:eastAsia="Times New Roman"/>
        </w:rPr>
        <w:t xml:space="preserve"> </w:t>
      </w:r>
      <w:r>
        <w:rPr/>
        <w:t>N°</w:t>
      </w:r>
      <w:r>
        <w:rPr>
          <w:rFonts w:eastAsia="Times New Roman"/>
        </w:rPr>
        <w:t xml:space="preserve"> </w:t>
      </w:r>
      <w:r>
        <w:rPr/>
        <w:t>.......</w:t>
      </w:r>
      <w:r>
        <w:rPr>
          <w:rFonts w:eastAsia="Times New Roman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0"/>
        <w:jc w:val="both"/>
      </w:pPr>
      <w:r>
        <w:rPr>
          <w:u w:val="single"/>
        </w:rPr>
        <w:t>1.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Fundamentación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y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descripción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45"/>
        <w:ind w:hanging="0" w:left="0" w:right="0"/>
        <w:jc w:val="both"/>
      </w:pPr>
      <w:r>
        <w:rPr/>
        <w:t>Tradicionalmente, en el discurso de las ciencias, la metáfora ha sido asociada con la oscuridad, la falacia y la confusión: si bien se suele admitir su valor como instrumento didáctico, es común la objeción respecto de  su capacidad de explicar la naturaleza verdadera de las cosas (Cloitre y Shinn, 1986). Desde Bacon, el uso de la metáfora ha tendido a ser algo vergonzoso para algunos científicos y filósofos: este pensador admitió que las metáforas pueden ser "anticipaciones de la naturaleza", pero en general las rechazó como un servicio a los "ídolos" y las atribuyó a nuestra inclinación natural a la fantasía (Holton, 1995:260). La concepción tradicional del discurso científico – cuyo punto de origen se ubica en la Revolución Científica (siglo XVII) - incluye dentro de sus preceptos la proscripción de la metáfora, por considerarla un recurso distorsionador, ambiguo, propio del campo subjetivo y emocional. Subyace a esta valorización la concepción clásica de la metáfora como “ornamento lingüístico”, basado en la sustitución de palabras o en una analogía preexistente con objetos o conceptos más cercanos. ¿Por qué esta resistencia secular – dominantemente declarativa  - a la metáfora? Las dificultades en aceptar la metáfora como un recurso legítimo de cognición se deben a dos motivos: por un lado, a un modo inadecuado de entenderla, por el otro lado, a una noción idealizada de racionalidad y objetividad respecto de nuestros procesos de conocimiento (Radman, 1995). Como es sabido, uno de los méritos fundamentales  de los trabajos de Lakoff y Johnson (1991) ha sido recuperar y desarrollar con amplia evidencia lingüística la antigua y desatendida observación aristotélica sobre el valor cognitivo de la metáfora (“las palabras corrientes comunican solo lo que ya sabemos; solamente por medio de las metáforas podemos obtener algo nuevo” Retórica, 1410b).  La metáfora tiene el poder de estructurar el conocimiento,  de permitirnos razonar  y evaluar (Lakoff y Turner, 1989: 64 y ss.). Las metáforas conceptuales, sean convencionales o nuevas, nos permiten entender aspectos de un concepto – la meta – en términos de aspectos no metafóricos de otro concepto – la fuente -. En consonancia con desarrollos de la lingüística y la filosofía, en las últimas décadas, estudios especializados procedentes del campo de las ciencias y de la retórica del discurso científico se han explayado sobre el valor de las metáforas como instrumento heurístico en la investigación y sobre su potencial explicativo para la transmisión de sucesos complejos  a distintas audiencias (Fox Keller 1996; Haack 1998, Palma, 2004). En esta perspectiva, la metáfora es reconocida como un mecanismo de conceptualización de extremada importancia en el campo de la creación y la comunicación de la ciencia. Desde el campo del análisis del texto y del discurso se han producido en los últimos años interesantes avances sobre el funcionamiento de las metáforas en los discursos de las ciencias de distintas disciplinas y niveles de especialidad. Este será el foco analítico del presente seminario: la discusión del fenómeno metafórico tal como se manifiesta en textos de especialidad, como mecanismo de comunicación y explicación del conocimiento.</w:t>
      </w:r>
    </w:p>
    <w:p>
      <w:pPr>
        <w:pStyle w:val="style45"/>
        <w:ind w:hanging="0" w:left="0" w:right="0"/>
        <w:jc w:val="both"/>
      </w:pPr>
      <w:r>
        <w:rPr/>
      </w:r>
    </w:p>
    <w:p>
      <w:pPr>
        <w:pStyle w:val="style45"/>
        <w:ind w:hanging="0" w:left="0" w:right="0"/>
        <w:jc w:val="both"/>
      </w:pPr>
      <w:r>
        <w:rPr/>
        <w:t xml:space="preserve">En este seminario, en primer término, se presentarán y discutirán algunas concepciones destacadas sobre la metáfora, a saber: la visión sustitutiva clásica de la retórica, la visión pragmática, la teoría cognitiva, la teoría neural y la teoría de la mezcla o la integración conceptual. En un segundo bloque, se estudiará la metáfora desde la perspectiva de su presencia y funcionamiento en el discurso, especialmente desde la perspectiva de la teoría de la producción discursiva (Gülich y Kotschi 1995; Brünner y Gülich 2002). Se discutirán además investigaciones específicas sobre las metáforas como mecanismo de elaboración y comunicación de conocimiento en textos orales y escritos de distintas disciplinas; se aspira a que esta discusión sea el punto de partida de trabajos monográficos de los participantes del seminario.  </w:t>
      </w:r>
    </w:p>
    <w:p>
      <w:pPr>
        <w:pStyle w:val="style0"/>
        <w:jc w:val="both"/>
      </w:pPr>
      <w:r>
        <w:rPr>
          <w:lang w:val="es-ES"/>
        </w:rPr>
      </w:r>
    </w:p>
    <w:p>
      <w:pPr>
        <w:pStyle w:val="style0"/>
        <w:jc w:val="both"/>
      </w:pPr>
      <w:r>
        <w:rPr>
          <w:u w:val="single"/>
        </w:rPr>
        <w:t>2.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Objetivos</w:t>
      </w:r>
    </w:p>
    <w:p>
      <w:pPr>
        <w:pStyle w:val="style0"/>
        <w:jc w:val="both"/>
      </w:pPr>
      <w:r>
        <w:rPr/>
      </w:r>
    </w:p>
    <w:p>
      <w:pPr>
        <w:pStyle w:val="style0"/>
        <w:widowControl/>
        <w:numPr>
          <w:ilvl w:val="0"/>
          <w:numId w:val="1"/>
        </w:numPr>
        <w:suppressAutoHyphens w:val="false"/>
      </w:pPr>
      <w:r>
        <w:rPr/>
        <w:t>Exponer y discutir las principales concepciones sobre las metáforas, con especial atención a las teorías surgidas en el campo de la lingüística;</w:t>
      </w:r>
    </w:p>
    <w:p>
      <w:pPr>
        <w:pStyle w:val="style0"/>
        <w:widowControl/>
        <w:numPr>
          <w:ilvl w:val="0"/>
          <w:numId w:val="1"/>
        </w:numPr>
        <w:suppressAutoHyphens w:val="false"/>
      </w:pPr>
      <w:r>
        <w:rPr/>
        <w:t>Dar a conocer y hacer comprender las ideas fundamentales de la teoría cognitiva de la metáfora y discutir sus alcances y límites a partir de estudios empíricos específicos;</w:t>
      </w:r>
    </w:p>
    <w:p>
      <w:pPr>
        <w:pStyle w:val="style0"/>
        <w:widowControl/>
        <w:numPr>
          <w:ilvl w:val="0"/>
          <w:numId w:val="1"/>
        </w:numPr>
        <w:suppressAutoHyphens w:val="false"/>
      </w:pPr>
      <w:r>
        <w:rPr/>
        <w:t>Exponer y discutir la teoría sobre la producción discursiva de la lingüística del texto y, específicamente, su visión de la metáfora como procedimiento de formulación e ilustración.</w:t>
      </w:r>
    </w:p>
    <w:p>
      <w:pPr>
        <w:pStyle w:val="style0"/>
        <w:widowControl/>
        <w:numPr>
          <w:ilvl w:val="0"/>
          <w:numId w:val="1"/>
        </w:numPr>
        <w:suppressAutoHyphens w:val="false"/>
      </w:pPr>
      <w:r>
        <w:rPr/>
        <w:t>Presentar y examinar distintas investigaciones del campo del análisis del texto y del discurso sobre la presencia y el empleo de la metáfora en textos orales y escritos de distintas disciplinas.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3.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Contenidos</w:t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45"/>
        <w:numPr>
          <w:ilvl w:val="0"/>
          <w:numId w:val="2"/>
        </w:numPr>
        <w:ind w:hanging="0" w:left="720" w:right="0"/>
        <w:jc w:val="both"/>
      </w:pPr>
      <w:r>
        <w:rPr/>
        <w:t xml:space="preserve">Fundamentos. La visión clásica de la metáfora. La tesis de la semejanza y la comparación: la metáfora como mecanismo de “sustitución”. La perspectiva pragmática de la metáfora. El punto de vista interaccional. </w:t>
      </w:r>
    </w:p>
    <w:p>
      <w:pPr>
        <w:pStyle w:val="style0"/>
        <w:jc w:val="both"/>
      </w:pPr>
      <w:r>
        <w:rPr/>
      </w:r>
    </w:p>
    <w:p>
      <w:pPr>
        <w:pStyle w:val="style45"/>
        <w:numPr>
          <w:ilvl w:val="0"/>
          <w:numId w:val="2"/>
        </w:numPr>
        <w:ind w:hanging="0" w:left="720" w:right="0"/>
        <w:jc w:val="both"/>
      </w:pPr>
      <w:r>
        <w:rPr/>
        <w:t xml:space="preserve">La visión cognitiva de la metáfora: instrumento de pensamiento y acción. Dominios de experiencia y metáforas. Sistematicidad y coherencia metafórica. Las metáforas nuevas: la creación de semejanzas. Mapeos conceptuales: metáforas primarias; metáforas fijas y nuevas. La teoría de la mezcla: el espacio genérico. El caso de las metáforas de las emociones. La teoría neural de la metáfora. </w:t>
      </w:r>
    </w:p>
    <w:p>
      <w:pPr>
        <w:pStyle w:val="style45"/>
      </w:pPr>
      <w:r>
        <w:rPr/>
      </w:r>
    </w:p>
    <w:p>
      <w:pPr>
        <w:pStyle w:val="style45"/>
        <w:numPr>
          <w:ilvl w:val="0"/>
          <w:numId w:val="2"/>
        </w:numPr>
        <w:ind w:hanging="0" w:left="720" w:right="0"/>
        <w:jc w:val="both"/>
      </w:pPr>
      <w:r>
        <w:rPr/>
        <w:t>Las metáforas en los textos. Problemas metodológicos en la identificación de las metáforas. La metáfora como procedimiento de producción discursiva. La formulación del discurso como “trabajo”. Los procedimientos de ilustración: metáforas, símiles y analogías. Las metáforas y sus funciones en la comunicación científica. Análisis ejemplares de textos orales y escritos de la esfera especializada.</w:t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0"/>
        <w:jc w:val="both"/>
      </w:pPr>
      <w:r>
        <w:rPr>
          <w:u w:val="single"/>
        </w:rPr>
        <w:t>4.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Bibliografía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específica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obligatoria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Unidad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I</w:t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35"/>
        <w:widowControl/>
        <w:numPr>
          <w:ilvl w:val="0"/>
          <w:numId w:val="3"/>
        </w:numPr>
        <w:suppressAutoHyphens w:val="false"/>
        <w:spacing w:after="0" w:before="0"/>
        <w:jc w:val="both"/>
      </w:pPr>
      <w:r>
        <w:rPr/>
        <w:t xml:space="preserve">Albaladejo, T. (1991). </w:t>
      </w:r>
      <w:r>
        <w:rPr>
          <w:i/>
        </w:rPr>
        <w:t>Retórica</w:t>
      </w:r>
      <w:r>
        <w:rPr/>
        <w:t xml:space="preserve">. Madrid, </w:t>
      </w:r>
      <w:r>
        <w:rPr>
          <w:lang w:val="de-DE"/>
        </w:rPr>
        <w:t>Editorial Síntesis.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Aristóteles (2005) </w:t>
      </w:r>
      <w:r>
        <w:rPr>
          <w:i/>
        </w:rPr>
        <w:t>El arte de la retórica</w:t>
      </w:r>
      <w:r>
        <w:rPr/>
        <w:t>, Buenos Aires: Eudeba. Traducción, introducción y notas de E. Ignacio Granero.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Aristóteles (1977) </w:t>
      </w:r>
      <w:r>
        <w:rPr>
          <w:i/>
        </w:rPr>
        <w:t>Poética</w:t>
      </w:r>
      <w:r>
        <w:rPr/>
        <w:t>, Buenos Aires: Barlovento Editora de Itzea SRL: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s-AR"/>
        </w:rPr>
        <w:t xml:space="preserve">Black, Max (1995) "Metáfora", en L. Valdés Villanueva: </w:t>
      </w:r>
      <w:r>
        <w:rPr>
          <w:i/>
          <w:lang w:val="es-AR"/>
        </w:rPr>
        <w:t>La búsqueda del significado</w:t>
      </w:r>
      <w:r>
        <w:rPr>
          <w:lang w:val="es-AR"/>
        </w:rPr>
        <w:t>, Tecnos.545-563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s-AR"/>
        </w:rPr>
        <w:t xml:space="preserve">Bustos, E. (2001) “Pragmática y Metáfora”, en Bustos, E. </w:t>
      </w:r>
      <w:r>
        <w:rPr>
          <w:i/>
          <w:lang w:val="es-AR"/>
        </w:rPr>
        <w:t>La metáfora</w:t>
      </w:r>
      <w:r>
        <w:rPr>
          <w:lang w:val="es-AR"/>
        </w:rPr>
        <w:t>, Madrid, FCE.</w:t>
      </w:r>
    </w:p>
    <w:p>
      <w:pPr>
        <w:pStyle w:val="style35"/>
        <w:widowControl/>
        <w:suppressAutoHyphens w:val="false"/>
        <w:spacing w:after="0" w:before="0"/>
        <w:ind w:hanging="0" w:left="777" w:right="0"/>
        <w:jc w:val="both"/>
      </w:pPr>
      <w:r>
        <w:rPr>
          <w:lang w:val="de-DE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Unidad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II</w:t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s-AR"/>
        </w:rPr>
        <w:t xml:space="preserve">Croft, W. y D. A. Cruse (2004) </w:t>
      </w:r>
      <w:r>
        <w:rPr>
          <w:i/>
          <w:lang w:val="es-AR"/>
        </w:rPr>
        <w:t>Lingüística cognitiva</w:t>
      </w:r>
      <w:r>
        <w:rPr>
          <w:lang w:val="es-AR"/>
        </w:rPr>
        <w:t xml:space="preserve">. Madrid: Alkal. Cap. 7 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Goatly, A. (1993), “Metaphors in written and spoken varieties”, en M Ghadessy (ed.): </w:t>
      </w:r>
      <w:r>
        <w:rPr>
          <w:i/>
          <w:lang w:val="en-US"/>
        </w:rPr>
        <w:t>Register Analysis: Theory and Practice</w:t>
      </w:r>
      <w:r>
        <w:rPr>
          <w:lang w:val="en-US"/>
        </w:rPr>
        <w:t>, London/New York: Pinter Publishers, pp.110-148.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en-US"/>
        </w:rPr>
        <w:t>Grady, J. (2005) "</w:t>
      </w:r>
      <w:r>
        <w:rPr>
          <w:rFonts w:eastAsia="Arial Unicode MS"/>
          <w:b w:val="false"/>
          <w:sz w:val="24"/>
          <w:szCs w:val="24"/>
          <w:lang w:val="en-US"/>
        </w:rPr>
        <w:t xml:space="preserve">Primary metaphors as inputs to conceptual integration", </w:t>
      </w:r>
      <w:r>
        <w:rPr>
          <w:rFonts w:eastAsia="Arial Unicode MS"/>
          <w:b w:val="false"/>
          <w:i/>
          <w:sz w:val="24"/>
          <w:szCs w:val="24"/>
          <w:lang w:val="en-US"/>
        </w:rPr>
        <w:t>Journal of Pragmatics</w:t>
      </w:r>
      <w:r>
        <w:rPr>
          <w:rFonts w:eastAsia="Arial Unicode MS"/>
          <w:b w:val="false"/>
          <w:sz w:val="24"/>
          <w:szCs w:val="24"/>
          <w:lang w:val="en-US"/>
        </w:rPr>
        <w:t xml:space="preserve"> </w:t>
      </w:r>
      <w:hyperlink r:id="rId3">
        <w:r>
          <w:rPr>
            <w:rStyle w:val="style28"/>
            <w:rFonts w:eastAsia="Arial Unicode MS"/>
            <w:b w:val="false"/>
            <w:color w:val="00000A"/>
            <w:sz w:val="24"/>
            <w:szCs w:val="24"/>
            <w:u w:val="none"/>
            <w:shd w:fill="F9FBFC" w:val="clear"/>
            <w:lang w:val="en-US"/>
          </w:rPr>
          <w:t>Volume 37, Issue 10</w:t>
        </w:r>
      </w:hyperlink>
      <w:r>
        <w:rPr>
          <w:rFonts w:eastAsia="Arial Unicode MS"/>
          <w:b w:val="false"/>
          <w:sz w:val="24"/>
          <w:szCs w:val="24"/>
          <w:shd w:fill="F9FBFC" w:val="clear"/>
          <w:lang w:val="en-US"/>
        </w:rPr>
        <w:t>, 1595–1614.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en-US"/>
        </w:rPr>
        <w:t>Kovecses, Zoltan (200</w:t>
      </w:r>
      <w:r>
        <w:rPr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 xml:space="preserve">) </w:t>
      </w:r>
      <w:r>
        <w:rPr>
          <w:b w:val="false"/>
          <w:i/>
          <w:sz w:val="24"/>
          <w:szCs w:val="24"/>
          <w:lang w:val="en-US"/>
        </w:rPr>
        <w:t>Metaphor: A Practical Introduction</w:t>
      </w:r>
      <w:r>
        <w:rPr>
          <w:b w:val="false"/>
          <w:sz w:val="24"/>
          <w:szCs w:val="24"/>
          <w:lang w:val="en-US"/>
        </w:rPr>
        <w:t>. New York: Oxford University Press.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en-US"/>
        </w:rPr>
        <w:t xml:space="preserve">Kovecses, Z. (2003) </w:t>
      </w:r>
      <w:hyperlink r:id="rId4">
        <w:r>
          <w:rPr>
            <w:rStyle w:val="style28"/>
            <w:b w:val="false"/>
            <w:i/>
            <w:color w:val="00000A"/>
            <w:sz w:val="24"/>
            <w:szCs w:val="24"/>
            <w:u w:val="none"/>
            <w:shd w:fill="FFFFFF" w:val="clear"/>
            <w:lang w:val="en-US"/>
          </w:rPr>
          <w:t>Metaphor and emotion: Language, culture, and body in human feeling</w:t>
        </w:r>
      </w:hyperlink>
      <w:r>
        <w:rPr>
          <w:b w:val="false"/>
          <w:sz w:val="24"/>
          <w:szCs w:val="24"/>
          <w:lang w:val="en-US"/>
        </w:rPr>
        <w:t>, Cambridge University Press.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Lakoff, G. (1987): </w:t>
      </w:r>
      <w:r>
        <w:rPr>
          <w:i/>
          <w:iCs/>
          <w:lang w:val="en-US"/>
        </w:rPr>
        <w:t>Women, Fire, and Dangerous Things</w:t>
      </w:r>
      <w:r>
        <w:rPr>
          <w:lang w:val="en-US"/>
        </w:rPr>
        <w:t>. Chicago/London. The University of Chicago Press.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Lakoff, G. y M. Johnson (1991): </w:t>
      </w:r>
      <w:r>
        <w:rPr>
          <w:i/>
          <w:iCs/>
        </w:rPr>
        <w:t>Metáforas de la vida cotidiana</w:t>
      </w:r>
      <w:r>
        <w:rPr/>
        <w:t>. Madrid: Cátedra. (1a.edición en inglés, 1980).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>Lakoff, G. (2008): “The neural theory of metaphor” en: Gibbs, R. (ed.).</w:t>
      </w:r>
    </w:p>
    <w:p>
      <w:pPr>
        <w:pStyle w:val="style45"/>
        <w:ind w:hanging="0" w:left="417" w:right="0"/>
        <w:jc w:val="both"/>
      </w:pPr>
      <w:r>
        <w:rPr>
          <w:lang w:val="en-US"/>
        </w:rPr>
      </w:r>
    </w:p>
    <w:p>
      <w:pPr>
        <w:pStyle w:val="style45"/>
        <w:ind w:hanging="0" w:left="417" w:right="0"/>
        <w:jc w:val="both"/>
      </w:pPr>
      <w:r>
        <w:rPr>
          <w:u w:val="single"/>
          <w:lang w:val="en-US"/>
        </w:rPr>
        <w:t>Unidad III</w:t>
      </w:r>
    </w:p>
    <w:p>
      <w:pPr>
        <w:pStyle w:val="style45"/>
        <w:ind w:hanging="0" w:left="417" w:right="0"/>
        <w:jc w:val="both"/>
      </w:pPr>
      <w:r>
        <w:rPr>
          <w:lang w:val="en-US"/>
        </w:rPr>
      </w:r>
    </w:p>
    <w:p>
      <w:pPr>
        <w:pStyle w:val="style35"/>
        <w:widowControl/>
        <w:numPr>
          <w:ilvl w:val="0"/>
          <w:numId w:val="3"/>
        </w:numPr>
        <w:suppressAutoHyphens w:val="false"/>
        <w:spacing w:after="0" w:before="0"/>
        <w:jc w:val="both"/>
      </w:pPr>
      <w:r>
        <w:rPr>
          <w:lang w:val="de-DE"/>
        </w:rPr>
        <w:t xml:space="preserve">Antos, G. (1982): </w:t>
      </w:r>
      <w:r>
        <w:rPr>
          <w:i/>
          <w:iCs/>
          <w:lang w:val="de-DE"/>
        </w:rPr>
        <w:t>Grundlagen einer Theorie des Formulierens</w:t>
      </w:r>
      <w:r>
        <w:rPr>
          <w:lang w:val="de-DE"/>
        </w:rPr>
        <w:t>, Tübingen: Niemeyer.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de-DE"/>
        </w:rPr>
        <w:t xml:space="preserve">Brünner, G. y E. Gülich (2002): "Verfahren der Veranschaulichung in der Experten-Laien-Kommunikation", en G. Brünner y E. Gülich, </w:t>
      </w:r>
      <w:r>
        <w:rPr>
          <w:i/>
          <w:iCs/>
          <w:lang w:val="de-DE"/>
        </w:rPr>
        <w:t>Sprechen über Krankheiten,</w:t>
      </w:r>
      <w:r>
        <w:rPr>
          <w:lang w:val="de-DE"/>
        </w:rPr>
        <w:t xml:space="preserve"> Bielefeld: Aisthesis Verlag, pp.</w:t>
      </w:r>
      <w:r>
        <w:rPr>
          <w:b/>
          <w:lang w:val="de-DE"/>
        </w:rPr>
        <w:t xml:space="preserve"> </w:t>
      </w:r>
      <w:r>
        <w:rPr>
          <w:lang w:val="de-DE"/>
        </w:rPr>
        <w:t>17-94.</w:t>
      </w:r>
    </w:p>
    <w:p>
      <w:pPr>
        <w:pStyle w:val="style45"/>
        <w:widowControl w:val="false"/>
        <w:numPr>
          <w:ilvl w:val="0"/>
          <w:numId w:val="3"/>
        </w:numPr>
        <w:jc w:val="both"/>
      </w:pPr>
      <w:r>
        <w:rPr/>
        <w:t>Ciapuscio, G. (2005)</w:t>
      </w:r>
      <w:r>
        <w:rPr>
          <w:lang w:val="es-ES"/>
        </w:rPr>
        <w:t xml:space="preserve"> “Las metáforas en la creación y recontextualización de la ciencia”, en </w:t>
      </w:r>
      <w:r>
        <w:rPr>
          <w:i/>
          <w:iCs/>
          <w:lang w:val="es-ES"/>
        </w:rPr>
        <w:t>Signo y Seña</w:t>
      </w:r>
      <w:r>
        <w:rPr>
          <w:lang w:val="es-ES"/>
        </w:rPr>
        <w:t xml:space="preserve"> 14, Comunicación académico-científica, 183-211.</w:t>
      </w:r>
    </w:p>
    <w:p>
      <w:pPr>
        <w:pStyle w:val="style45"/>
        <w:numPr>
          <w:ilvl w:val="0"/>
          <w:numId w:val="3"/>
        </w:numPr>
      </w:pPr>
      <w:r>
        <w:rPr/>
        <w:t xml:space="preserve">Ciapuscio, G. (2011) “De metáforas durmientes, endurecidas y nómades: un enfoque lingüístico de las metáforas en la comunicación de la ciencia”, en </w:t>
      </w:r>
      <w:r>
        <w:rPr>
          <w:i/>
        </w:rPr>
        <w:t>Arbor. Ciencia,</w:t>
      </w:r>
      <w:r>
        <w:rPr>
          <w:b/>
          <w:i/>
        </w:rPr>
        <w:t xml:space="preserve"> </w:t>
      </w:r>
      <w:r>
        <w:rPr>
          <w:i/>
        </w:rPr>
        <w:t>Pensamiento y Cultura</w:t>
      </w:r>
      <w:r>
        <w:rPr/>
        <w:t>, volumen temático “Lenguaje y Ciencia”, vol. 187, No 747, 89-97.</w:t>
      </w:r>
    </w:p>
    <w:p>
      <w:pPr>
        <w:pStyle w:val="style45"/>
        <w:ind w:hanging="0" w:left="777" w:right="0"/>
      </w:pPr>
      <w:r>
        <w:rPr>
          <w:b/>
        </w:rPr>
      </w:r>
    </w:p>
    <w:p>
      <w:pPr>
        <w:pStyle w:val="style45"/>
        <w:widowControl w:val="false"/>
        <w:numPr>
          <w:ilvl w:val="0"/>
          <w:numId w:val="3"/>
        </w:numPr>
        <w:jc w:val="both"/>
      </w:pPr>
      <w:r>
        <w:rPr/>
        <w:t xml:space="preserve">Ciapuscio, G. (2013) </w:t>
      </w:r>
      <w:r>
        <w:rPr>
          <w:shd w:fill="FFFFFF" w:val="clear"/>
        </w:rPr>
        <w:t xml:space="preserve">“Las metáforas en las cartas de lectores de revistas científicas”, </w:t>
      </w:r>
      <w:r>
        <w:rPr>
          <w:i/>
          <w:shd w:fill="FFFFFF" w:val="clear"/>
        </w:rPr>
        <w:t>Rétor. Revista de Retórica</w:t>
      </w:r>
      <w:r>
        <w:rPr>
          <w:shd w:fill="FFFFFF" w:val="clear"/>
        </w:rPr>
        <w:t xml:space="preserve"> 3:2. 168-176. </w:t>
      </w:r>
      <w:hyperlink r:id="rId5">
        <w:r>
          <w:rPr>
            <w:rStyle w:val="style28"/>
            <w:color w:val="00000A"/>
          </w:rPr>
          <w:t>http://revistaretor.org/</w:t>
        </w:r>
      </w:hyperlink>
      <w:r>
        <w:rPr/>
        <w:t xml:space="preserve">. 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Steen, Gerard </w:t>
      </w:r>
      <w:r>
        <w:rPr>
          <w:i/>
          <w:lang w:val="en-US"/>
        </w:rPr>
        <w:t>et al.</w:t>
      </w:r>
      <w:r>
        <w:rPr>
          <w:lang w:val="en-US"/>
        </w:rPr>
        <w:t xml:space="preserve"> (2010) </w:t>
      </w:r>
      <w:r>
        <w:rPr>
          <w:i/>
          <w:iCs/>
          <w:shd w:fill="FFFFFF" w:val="clear"/>
          <w:lang w:val="en-US"/>
        </w:rPr>
        <w:t>A method for linguistic metaphor identification: From MIP to MIPVU</w:t>
      </w:r>
      <w:r>
        <w:rPr>
          <w:iCs/>
          <w:shd w:fill="FFFFFF" w:val="clear"/>
          <w:lang w:val="en-US"/>
        </w:rPr>
        <w:t>,</w:t>
      </w:r>
      <w:r>
        <w:rPr>
          <w:i/>
          <w:iCs/>
          <w:shd w:fill="FFFFFF" w:val="clear"/>
          <w:lang w:val="en-US"/>
        </w:rPr>
        <w:t xml:space="preserve"> </w:t>
      </w:r>
      <w:r>
        <w:rPr>
          <w:shd w:fill="FFFFFF" w:val="clear"/>
          <w:lang w:val="en-US"/>
        </w:rPr>
        <w:t xml:space="preserve">Vol. 14. Amsterdam / Philadelphia: John Benjamins Publishing. </w:t>
      </w:r>
    </w:p>
    <w:p>
      <w:pPr>
        <w:pStyle w:val="style45"/>
        <w:numPr>
          <w:ilvl w:val="0"/>
          <w:numId w:val="3"/>
        </w:numPr>
        <w:jc w:val="both"/>
      </w:pPr>
      <w:r>
        <w:rPr>
          <w:shd w:fill="FFFFFF" w:val="clear"/>
          <w:lang w:val="es-AR"/>
        </w:rPr>
        <w:t xml:space="preserve">Tajer, Carlos (2013) Metáforas para pensar la medicina. </w:t>
      </w:r>
      <w:r>
        <w:rPr>
          <w:i/>
          <w:shd w:fill="FFFFFF" w:val="clear"/>
          <w:lang w:val="es-AR"/>
        </w:rPr>
        <w:t>Intramed</w:t>
      </w:r>
      <w:r>
        <w:rPr>
          <w:shd w:fill="FFFFFF" w:val="clear"/>
          <w:lang w:val="es-AR"/>
        </w:rPr>
        <w:t>, febrero de 2013.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Wee, Lionel (2005): "Constructing the source: metaphor as discourse strategy", </w:t>
      </w:r>
      <w:r>
        <w:rPr>
          <w:i/>
          <w:iCs/>
          <w:lang w:val="en-US"/>
        </w:rPr>
        <w:t>Discourse Studies</w:t>
      </w:r>
      <w:r>
        <w:rPr>
          <w:lang w:val="en-US"/>
        </w:rPr>
        <w:t xml:space="preserve"> 7 (3): 363-384.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Williams Camus, Julia (2009) "An Approximation to the Ideological Basis of Metaphors used for Cancer in the English and Spanish Press", </w:t>
      </w:r>
      <w:r>
        <w:rPr>
          <w:i/>
          <w:lang w:val="en-US"/>
        </w:rPr>
        <w:t>Forum</w:t>
      </w:r>
      <w:r>
        <w:rPr>
          <w:lang w:val="en-US"/>
        </w:rPr>
        <w:t xml:space="preserve"> 7 (1), 171-201.</w:t>
      </w:r>
    </w:p>
    <w:p>
      <w:pPr>
        <w:pStyle w:val="style0"/>
        <w:jc w:val="both"/>
      </w:pPr>
      <w:r>
        <w:rPr>
          <w:u w:val="single"/>
          <w:lang w:val="en-US"/>
        </w:rPr>
      </w:r>
    </w:p>
    <w:p>
      <w:pPr>
        <w:pStyle w:val="style0"/>
        <w:jc w:val="both"/>
      </w:pPr>
      <w:r>
        <w:rPr>
          <w:u w:val="single"/>
          <w:lang w:val="de-DE"/>
        </w:rPr>
      </w:r>
    </w:p>
    <w:p>
      <w:pPr>
        <w:pStyle w:val="style0"/>
        <w:jc w:val="both"/>
      </w:pPr>
      <w:r>
        <w:rPr>
          <w:u w:val="single"/>
        </w:rPr>
        <w:t>5.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Bibliografía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general</w:t>
      </w:r>
    </w:p>
    <w:p>
      <w:pPr>
        <w:pStyle w:val="style0"/>
        <w:jc w:val="both"/>
      </w:pPr>
      <w:r>
        <w:rPr/>
      </w:r>
    </w:p>
    <w:p>
      <w:pPr>
        <w:pStyle w:val="style35"/>
        <w:widowControl/>
        <w:numPr>
          <w:ilvl w:val="0"/>
          <w:numId w:val="3"/>
        </w:numPr>
        <w:suppressAutoHyphens w:val="false"/>
        <w:spacing w:after="0" w:before="0"/>
        <w:ind w:hanging="0" w:left="57" w:right="0"/>
        <w:jc w:val="both"/>
      </w:pPr>
      <w:r>
        <w:rPr/>
      </w:r>
    </w:p>
    <w:p>
      <w:pPr>
        <w:pStyle w:val="style35"/>
        <w:widowControl/>
        <w:numPr>
          <w:ilvl w:val="0"/>
          <w:numId w:val="3"/>
        </w:numPr>
        <w:suppressAutoHyphens w:val="false"/>
        <w:spacing w:after="0" w:before="0"/>
        <w:jc w:val="both"/>
      </w:pPr>
      <w:r>
        <w:rPr/>
        <w:t xml:space="preserve">Albaladejo, T. (1991). </w:t>
      </w:r>
      <w:r>
        <w:rPr>
          <w:i/>
        </w:rPr>
        <w:t>Retórica</w:t>
      </w:r>
      <w:r>
        <w:rPr/>
        <w:t xml:space="preserve">. Madrid, </w:t>
      </w:r>
      <w:r>
        <w:rPr>
          <w:lang w:val="de-DE"/>
        </w:rPr>
        <w:t>Editorial Síntesis.</w:t>
      </w:r>
    </w:p>
    <w:p>
      <w:pPr>
        <w:pStyle w:val="style35"/>
        <w:widowControl/>
        <w:numPr>
          <w:ilvl w:val="0"/>
          <w:numId w:val="3"/>
        </w:numPr>
        <w:suppressAutoHyphens w:val="false"/>
        <w:spacing w:after="0" w:before="0"/>
        <w:jc w:val="both"/>
      </w:pPr>
      <w:r>
        <w:rPr>
          <w:lang w:val="de-DE"/>
        </w:rPr>
        <w:t xml:space="preserve">Antos, G. (1982): </w:t>
      </w:r>
      <w:r>
        <w:rPr>
          <w:i/>
          <w:iCs/>
          <w:lang w:val="de-DE"/>
        </w:rPr>
        <w:t>Grundlagen einer Theorie des Formulierens</w:t>
      </w:r>
      <w:r>
        <w:rPr>
          <w:lang w:val="de-DE"/>
        </w:rPr>
        <w:t>, Tübingen: Niemeyer.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Aristóteles (2005) </w:t>
      </w:r>
      <w:r>
        <w:rPr>
          <w:i/>
        </w:rPr>
        <w:t>El arte de la retórica</w:t>
      </w:r>
      <w:r>
        <w:rPr/>
        <w:t>, Buenos Aires: Eudeba. Traducción, introducción y notas de E. Ignacio Granero.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Aristóteles (1977) </w:t>
      </w:r>
      <w:r>
        <w:rPr>
          <w:i/>
        </w:rPr>
        <w:t>Poética</w:t>
      </w:r>
      <w:r>
        <w:rPr/>
        <w:t>, Buenos Aires: Barlovento Editora de Itzea SRL: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Black, M. (1962): </w:t>
      </w:r>
      <w:r>
        <w:rPr>
          <w:i/>
          <w:iCs/>
          <w:lang w:val="en-US"/>
        </w:rPr>
        <w:t>Models and Metaphors,</w:t>
      </w:r>
      <w:r>
        <w:rPr>
          <w:lang w:val="en-US"/>
        </w:rPr>
        <w:t xml:space="preserve"> Ithaca, NY: Cornell University Press.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s-AR"/>
        </w:rPr>
        <w:t>Black, Max (1995) "Metáfora", en L. Valdés Villanueva: La búsqueda del significado, Tecnos.545-563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Boyd, R (1993): “Metaphor and theory change. What is “metaphor” a metaphor for?”, en Ortony, Andrew (ed.), </w:t>
      </w:r>
      <w:r>
        <w:rPr>
          <w:i/>
          <w:lang w:val="en-US"/>
        </w:rPr>
        <w:t>Metaphor and Thought</w:t>
      </w:r>
      <w:r>
        <w:rPr>
          <w:lang w:val="en-US"/>
        </w:rPr>
        <w:t>, Cambridge: Cambridge University Press, pp. 481-533.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de-DE"/>
        </w:rPr>
        <w:t xml:space="preserve">Brünner, G. y E. Gülich (2002): "Verfahren der Veranschaulichung in der Experten-Laien-Kommunikation", en G. Brünner y E. Gülich, </w:t>
      </w:r>
      <w:r>
        <w:rPr>
          <w:i/>
          <w:iCs/>
          <w:lang w:val="de-DE"/>
        </w:rPr>
        <w:t>Sprechen über Krankheiten,</w:t>
      </w:r>
      <w:r>
        <w:rPr>
          <w:lang w:val="de-DE"/>
        </w:rPr>
        <w:t xml:space="preserve"> Bielefeld: Aisthesis Verlag, pp.</w:t>
      </w:r>
      <w:r>
        <w:rPr>
          <w:b/>
          <w:lang w:val="de-DE"/>
        </w:rPr>
        <w:t xml:space="preserve"> </w:t>
      </w:r>
      <w:r>
        <w:rPr>
          <w:lang w:val="de-DE"/>
        </w:rPr>
        <w:t>17-94.</w:t>
      </w:r>
    </w:p>
    <w:p>
      <w:pPr>
        <w:pStyle w:val="style45"/>
        <w:numPr>
          <w:ilvl w:val="0"/>
          <w:numId w:val="3"/>
        </w:numPr>
      </w:pPr>
      <w:r>
        <w:rPr/>
        <w:t>Bühler, K. (1934) “Sobre la metáfora” en: Teoría del Lenguaje, Madrid, Revista de Occidente (Traducción de J. Marías, 1953), págs. 412-427.</w:t>
      </w:r>
    </w:p>
    <w:p>
      <w:pPr>
        <w:pStyle w:val="style45"/>
        <w:widowControl w:val="false"/>
        <w:numPr>
          <w:ilvl w:val="0"/>
          <w:numId w:val="3"/>
        </w:numPr>
        <w:jc w:val="both"/>
      </w:pPr>
      <w:r>
        <w:rPr/>
        <w:t>Ciapuscio, G. (2005)</w:t>
      </w:r>
      <w:r>
        <w:rPr>
          <w:lang w:val="es-ES"/>
        </w:rPr>
        <w:t xml:space="preserve"> “Las metáforas en la creación y recontextualización de la ciencia”, en </w:t>
      </w:r>
      <w:r>
        <w:rPr>
          <w:i/>
          <w:iCs/>
          <w:lang w:val="es-ES"/>
        </w:rPr>
        <w:t>Signo y Seña</w:t>
      </w:r>
      <w:r>
        <w:rPr>
          <w:lang w:val="es-ES"/>
        </w:rPr>
        <w:t xml:space="preserve"> 14, Comunicación académico-científica, 183-211.</w:t>
      </w:r>
    </w:p>
    <w:p>
      <w:pPr>
        <w:pStyle w:val="style45"/>
        <w:numPr>
          <w:ilvl w:val="0"/>
          <w:numId w:val="3"/>
        </w:numPr>
      </w:pPr>
      <w:r>
        <w:rPr/>
        <w:t xml:space="preserve">Ciapuscio, G. (2011) “De metáforas durmientes, endurecidas y nómades: un enfoque lingüístico de las metáforas en la comunicación de la ciencia”, en </w:t>
      </w:r>
      <w:r>
        <w:rPr>
          <w:i/>
        </w:rPr>
        <w:t>Arbor. Ciencia,</w:t>
      </w:r>
      <w:r>
        <w:rPr>
          <w:b/>
          <w:i/>
        </w:rPr>
        <w:t xml:space="preserve"> </w:t>
      </w:r>
      <w:r>
        <w:rPr>
          <w:i/>
        </w:rPr>
        <w:t>Pensamiento y Cultura</w:t>
      </w:r>
      <w:r>
        <w:rPr/>
        <w:t>, volumen temático “Lenguaje y Ciencia” (Editor, Pablo Lorenzano)</w:t>
      </w:r>
      <w:r>
        <w:rPr>
          <w:b/>
        </w:rPr>
        <w:t>.</w:t>
      </w:r>
    </w:p>
    <w:p>
      <w:pPr>
        <w:pStyle w:val="style45"/>
        <w:widowControl w:val="false"/>
        <w:numPr>
          <w:ilvl w:val="0"/>
          <w:numId w:val="3"/>
        </w:numPr>
        <w:jc w:val="both"/>
      </w:pPr>
      <w:r>
        <w:rPr/>
        <w:t xml:space="preserve">Ciapuscio, G. (2013) </w:t>
      </w:r>
      <w:r>
        <w:rPr>
          <w:shd w:fill="FFFFFF" w:val="clear"/>
        </w:rPr>
        <w:t xml:space="preserve">“Las metáforas en las cartas de lectores de revistas científicas”, </w:t>
      </w:r>
      <w:r>
        <w:rPr>
          <w:i/>
          <w:shd w:fill="FFFFFF" w:val="clear"/>
        </w:rPr>
        <w:t>Rétor. Revista de Retórica</w:t>
      </w:r>
      <w:r>
        <w:rPr>
          <w:shd w:fill="FFFFFF" w:val="clear"/>
        </w:rPr>
        <w:t xml:space="preserve"> 3:2. 168-176. </w:t>
      </w:r>
      <w:hyperlink r:id="rId6">
        <w:r>
          <w:rPr>
            <w:rStyle w:val="style28"/>
            <w:color w:val="00000A"/>
          </w:rPr>
          <w:t>http://revistaretor.org/</w:t>
        </w:r>
      </w:hyperlink>
      <w:r>
        <w:rPr/>
        <w:t xml:space="preserve">. 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s-AR"/>
        </w:rPr>
        <w:t xml:space="preserve">Croft, W. y D. A. Cruse (2004) </w:t>
      </w:r>
      <w:r>
        <w:rPr>
          <w:i/>
          <w:lang w:val="es-AR"/>
        </w:rPr>
        <w:t>Lingüística cognitiva</w:t>
      </w:r>
      <w:r>
        <w:rPr>
          <w:lang w:val="es-AR"/>
        </w:rPr>
        <w:t xml:space="preserve">. Madrid: Alkal. Cap. 7 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>Deignan, A. (2008) “Corpus Linguistics and Metaphor”, en R. Gibbs. Jr. (ed.),</w:t>
      </w:r>
      <w:r>
        <w:rPr>
          <w:i/>
          <w:iCs/>
          <w:lang w:val="en-US"/>
        </w:rPr>
        <w:t>The Cambridge Handbook of Metaphor and Thought</w:t>
      </w:r>
      <w:r>
        <w:rPr>
          <w:lang w:val="en-US"/>
        </w:rPr>
        <w:t>. New York: Cambridge University Press, pp.280-293.</w:t>
      </w:r>
    </w:p>
    <w:p>
      <w:pPr>
        <w:pStyle w:val="style45"/>
        <w:numPr>
          <w:ilvl w:val="0"/>
          <w:numId w:val="3"/>
        </w:numPr>
      </w:pPr>
      <w:r>
        <w:rPr/>
        <w:t>Díaz Rojo, J. (1998). "Revisión de la concepción tradicional de la terminología científica desde una perspectiva diacrónica"</w:t>
      </w:r>
      <w:r>
        <w:rPr>
          <w:i/>
        </w:rPr>
        <w:t>.</w:t>
      </w:r>
      <w:r>
        <w:rPr/>
        <w:t xml:space="preserve"> Colloqui La Història del llenguatges iberoromànics d´especialitat (segles XVII-XIX): solucions per al present, Barcelona, IULA Universitat Pompeu Fabra.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Fourez, G. (1994): </w:t>
      </w:r>
      <w:r>
        <w:rPr>
          <w:i/>
          <w:iCs/>
        </w:rPr>
        <w:t>Alfabetización científica y tecnológica</w:t>
      </w:r>
      <w:r>
        <w:rPr/>
        <w:t>. Buenos Aires: Ediciones Colihue.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Fox Keller, E. (1996): “El lenguaje de la genética y su influencia en la investigación” </w:t>
      </w:r>
      <w:r>
        <w:rPr>
          <w:i/>
          <w:iCs/>
        </w:rPr>
        <w:t xml:space="preserve">Quark. </w:t>
      </w:r>
      <w:r>
        <w:rPr>
          <w:i/>
          <w:iCs/>
          <w:lang w:val="es-AR"/>
        </w:rPr>
        <w:t>Ciencia, Medicina, Comunicación y Cultura</w:t>
      </w:r>
      <w:r>
        <w:rPr>
          <w:lang w:val="es-AR"/>
        </w:rPr>
        <w:t xml:space="preserve"> </w:t>
      </w:r>
      <w:r>
        <w:rPr>
          <w:bCs/>
          <w:lang w:val="es-AR"/>
        </w:rPr>
        <w:t xml:space="preserve">4 </w:t>
      </w:r>
      <w:r>
        <w:rPr>
          <w:lang w:val="es-AR"/>
        </w:rPr>
        <w:t>(La genética manipulable): 53-63.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Gibbs, Raymond W.Jr (Ed.) (2008) </w:t>
      </w:r>
      <w:r>
        <w:rPr>
          <w:i/>
          <w:lang w:val="en-US"/>
        </w:rPr>
        <w:t>The Cambridge Handbook of Metaphor and Thought,</w:t>
      </w:r>
      <w:r>
        <w:rPr>
          <w:lang w:val="en-US"/>
        </w:rPr>
        <w:t xml:space="preserve"> Cambridge.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Goatly, A. (1993), “Metaphors in written and spoken varieties”, en M Ghadessy (ed.): </w:t>
      </w:r>
      <w:r>
        <w:rPr>
          <w:i/>
          <w:lang w:val="en-US"/>
        </w:rPr>
        <w:t>Register Analysis: Theory and Practice</w:t>
      </w:r>
      <w:r>
        <w:rPr>
          <w:lang w:val="en-US"/>
        </w:rPr>
        <w:t>, London/New York: Pinter Publishers, pp.110-148.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en-US"/>
        </w:rPr>
        <w:t>Grady, J. (2005) "</w:t>
      </w:r>
      <w:r>
        <w:rPr>
          <w:rFonts w:eastAsia="Arial Unicode MS"/>
          <w:b w:val="false"/>
          <w:sz w:val="24"/>
          <w:szCs w:val="24"/>
          <w:lang w:val="en-US"/>
        </w:rPr>
        <w:t xml:space="preserve">Primary metaphors as inputs to conceptual integration", </w:t>
      </w:r>
      <w:r>
        <w:rPr>
          <w:rFonts w:eastAsia="Arial Unicode MS"/>
          <w:b w:val="false"/>
          <w:i/>
          <w:sz w:val="24"/>
          <w:szCs w:val="24"/>
          <w:lang w:val="en-US"/>
        </w:rPr>
        <w:t>Journal of Pragmatics</w:t>
      </w:r>
      <w:r>
        <w:rPr>
          <w:rFonts w:eastAsia="Arial Unicode MS"/>
          <w:b w:val="false"/>
          <w:sz w:val="24"/>
          <w:szCs w:val="24"/>
          <w:lang w:val="en-US"/>
        </w:rPr>
        <w:t xml:space="preserve"> </w:t>
      </w:r>
      <w:hyperlink r:id="rId7">
        <w:r>
          <w:rPr>
            <w:rStyle w:val="style28"/>
            <w:rFonts w:eastAsia="Arial Unicode MS"/>
            <w:b w:val="false"/>
            <w:color w:val="00000A"/>
            <w:sz w:val="24"/>
            <w:szCs w:val="24"/>
            <w:u w:val="none"/>
            <w:shd w:fill="F9FBFC" w:val="clear"/>
            <w:lang w:val="en-US"/>
          </w:rPr>
          <w:t>Volume 37, Issue 10</w:t>
        </w:r>
      </w:hyperlink>
      <w:r>
        <w:rPr>
          <w:rFonts w:eastAsia="Arial Unicode MS"/>
          <w:b w:val="false"/>
          <w:sz w:val="24"/>
          <w:szCs w:val="24"/>
          <w:shd w:fill="F9FBFC" w:val="clear"/>
          <w:lang w:val="en-US"/>
        </w:rPr>
        <w:t>, 1595–1614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Gülich, E. (2003): "Conversational Techniques used in transferring knowledge between medical experts and non-experts", </w:t>
      </w:r>
      <w:r>
        <w:rPr>
          <w:i/>
          <w:iCs/>
          <w:lang w:val="en-US"/>
        </w:rPr>
        <w:t>Discourse Studies</w:t>
      </w:r>
      <w:r>
        <w:rPr>
          <w:lang w:val="en-US"/>
        </w:rPr>
        <w:t xml:space="preserve"> </w:t>
      </w:r>
      <w:r>
        <w:rPr>
          <w:bCs/>
          <w:lang w:val="en-US"/>
        </w:rPr>
        <w:t>5 (2): 234-258.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Gusfield, J. (1976): “The Literary Rhetoric of Science: Comedy and Pathos in Drinking Driver Research”, </w:t>
      </w:r>
      <w:r>
        <w:rPr>
          <w:i/>
          <w:iCs/>
          <w:lang w:val="en-US"/>
        </w:rPr>
        <w:t>American Sociological Review</w:t>
      </w:r>
      <w:r>
        <w:rPr>
          <w:lang w:val="en-US"/>
        </w:rPr>
        <w:t xml:space="preserve"> </w:t>
      </w:r>
      <w:r>
        <w:rPr>
          <w:bCs/>
          <w:lang w:val="en-US"/>
        </w:rPr>
        <w:t>41:</w:t>
      </w:r>
      <w:r>
        <w:rPr>
          <w:lang w:val="en-US"/>
        </w:rPr>
        <w:t xml:space="preserve"> 16-34.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Haack, S. (1998), "Dry Truth and Real Knowledge" en S. Haack, </w:t>
      </w:r>
      <w:r>
        <w:rPr>
          <w:i/>
          <w:lang w:val="en-US"/>
        </w:rPr>
        <w:t xml:space="preserve">Epistemologies of Metaphor and Metaphors of Epistemology. </w:t>
      </w:r>
      <w:r>
        <w:rPr>
          <w:i/>
          <w:iCs/>
          <w:lang w:val="en-US"/>
        </w:rPr>
        <w:t>Manifesto of a Passionate Moderate</w:t>
      </w:r>
      <w:r>
        <w:rPr>
          <w:lang w:val="en-US"/>
        </w:rPr>
        <w:t>. Chicago/London:The University of Chicago Press</w:t>
      </w:r>
      <w:r>
        <w:rPr>
          <w:b/>
          <w:lang w:val="en-US"/>
        </w:rPr>
        <w:t xml:space="preserve">, </w:t>
      </w:r>
      <w:r>
        <w:rPr>
          <w:lang w:val="en-US"/>
        </w:rPr>
        <w:t>pp.</w:t>
      </w:r>
      <w:r>
        <w:rPr>
          <w:b/>
          <w:lang w:val="en-US"/>
        </w:rPr>
        <w:t xml:space="preserve"> </w:t>
      </w:r>
      <w:r>
        <w:rPr>
          <w:lang w:val="en-US"/>
        </w:rPr>
        <w:t>69-89.</w:t>
      </w:r>
    </w:p>
    <w:p>
      <w:pPr>
        <w:pStyle w:val="style35"/>
        <w:widowControl/>
        <w:numPr>
          <w:ilvl w:val="0"/>
          <w:numId w:val="3"/>
        </w:numPr>
        <w:suppressAutoHyphens w:val="false"/>
        <w:spacing w:after="0" w:before="0"/>
        <w:ind w:hanging="0" w:left="0" w:right="198"/>
        <w:jc w:val="both"/>
      </w:pPr>
      <w:r>
        <w:rPr>
          <w:lang w:val="en-US"/>
        </w:rPr>
        <w:t>Kay, Lily. (1999). "In the Beginning Was the Word? The Genetic Code and the Book of Life".</w:t>
      </w:r>
      <w:r>
        <w:rPr>
          <w:i/>
          <w:lang w:val="en-US"/>
        </w:rPr>
        <w:t xml:space="preserve"> </w:t>
      </w:r>
      <w:r>
        <w:rPr>
          <w:i/>
          <w:iCs/>
          <w:lang w:val="en-US"/>
        </w:rPr>
        <w:t>The Science Studies Reader</w:t>
      </w:r>
      <w:r>
        <w:rPr>
          <w:lang w:val="en-US"/>
        </w:rPr>
        <w:t>, M. Biagioli (ed.), New York/London: Routledge, pps. 224-233.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en-US"/>
        </w:rPr>
        <w:t>Kovecses, Zoltan (200</w:t>
      </w:r>
      <w:r>
        <w:rPr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 xml:space="preserve">) </w:t>
      </w:r>
      <w:r>
        <w:rPr>
          <w:b w:val="false"/>
          <w:i/>
          <w:sz w:val="24"/>
          <w:szCs w:val="24"/>
          <w:lang w:val="en-US"/>
        </w:rPr>
        <w:t>Metaphor: A Practical Introduction</w:t>
      </w:r>
      <w:r>
        <w:rPr>
          <w:b w:val="false"/>
          <w:sz w:val="24"/>
          <w:szCs w:val="24"/>
          <w:lang w:val="en-US"/>
        </w:rPr>
        <w:t>. New York: Oxford University Press.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en-US"/>
        </w:rPr>
        <w:t xml:space="preserve">Kovecses, Z. (2003) </w:t>
      </w:r>
      <w:hyperlink r:id="rId8">
        <w:r>
          <w:rPr>
            <w:rStyle w:val="style28"/>
            <w:b w:val="false"/>
            <w:i/>
            <w:color w:val="00000A"/>
            <w:sz w:val="24"/>
            <w:szCs w:val="24"/>
            <w:u w:val="none"/>
            <w:shd w:fill="FFFFFF" w:val="clear"/>
            <w:lang w:val="en-US"/>
          </w:rPr>
          <w:t>Metaphor and emotion: Language, culture, and body in human feeling</w:t>
        </w:r>
      </w:hyperlink>
      <w:r>
        <w:rPr>
          <w:b w:val="false"/>
          <w:sz w:val="24"/>
          <w:szCs w:val="24"/>
          <w:lang w:val="en-US"/>
        </w:rPr>
        <w:t>, Cambridge University Press.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de-DE"/>
        </w:rPr>
        <w:t xml:space="preserve">Kretzenbacher, L. (1995), "Wie durchsichtig ist die Sprache der Wissenschaft?", en H. Weinrich y L. Kretzenbacher (eds.), </w:t>
      </w:r>
      <w:r>
        <w:rPr>
          <w:b w:val="false"/>
          <w:i/>
          <w:iCs/>
          <w:sz w:val="24"/>
          <w:szCs w:val="24"/>
          <w:lang w:val="de-DE"/>
        </w:rPr>
        <w:t>Linguistik der Wissenschaftssprache</w:t>
      </w:r>
      <w:r>
        <w:rPr>
          <w:b w:val="false"/>
          <w:sz w:val="24"/>
          <w:szCs w:val="24"/>
          <w:lang w:val="de-DE"/>
        </w:rPr>
        <w:t xml:space="preserve">. </w:t>
      </w:r>
      <w:r>
        <w:rPr>
          <w:b w:val="false"/>
          <w:sz w:val="24"/>
          <w:szCs w:val="24"/>
          <w:lang w:val="en-US"/>
        </w:rPr>
        <w:t>Berlin: De Gruyter, pp. 15-39.</w:t>
      </w:r>
    </w:p>
    <w:p>
      <w:pPr>
        <w:pStyle w:val="style1"/>
        <w:numPr>
          <w:ilvl w:val="0"/>
          <w:numId w:val="3"/>
        </w:numPr>
        <w:shd w:fill="FFFFFF" w:val="clear"/>
        <w:spacing w:after="28" w:before="28"/>
      </w:pPr>
      <w:r>
        <w:rPr>
          <w:b w:val="false"/>
          <w:sz w:val="24"/>
          <w:szCs w:val="24"/>
          <w:lang w:val="en-US"/>
        </w:rPr>
        <w:t xml:space="preserve">Knudsen, Susanne (2003): "Scientific metaphors going public", </w:t>
      </w:r>
      <w:r>
        <w:rPr>
          <w:b w:val="false"/>
          <w:i/>
          <w:sz w:val="24"/>
          <w:szCs w:val="24"/>
          <w:lang w:val="en-US"/>
        </w:rPr>
        <w:t xml:space="preserve">Journal of Pragmatics </w:t>
      </w:r>
      <w:r>
        <w:rPr>
          <w:b w:val="false"/>
          <w:sz w:val="24"/>
          <w:szCs w:val="24"/>
          <w:lang w:val="en-US"/>
        </w:rPr>
        <w:t>35: 1247-1263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Lakoff, G. (1987): </w:t>
      </w:r>
      <w:r>
        <w:rPr>
          <w:i/>
          <w:iCs/>
          <w:lang w:val="en-US"/>
        </w:rPr>
        <w:t>Women, Fire, and Dangerous Things</w:t>
      </w:r>
      <w:r>
        <w:rPr>
          <w:lang w:val="en-US"/>
        </w:rPr>
        <w:t>. Chicago/London. The University of Chicago Press.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Lakoff, G. y M. Turner (1989) </w:t>
      </w:r>
      <w:r>
        <w:rPr>
          <w:i/>
          <w:lang w:val="en-US"/>
        </w:rPr>
        <w:t>More than Cool Reason. A Field Guide to Poetic Metaphor</w:t>
      </w:r>
      <w:r>
        <w:rPr>
          <w:lang w:val="en-US"/>
        </w:rPr>
        <w:t>, The University of Chicago Press.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Lakoff, G. y M. Johnson (1991): </w:t>
      </w:r>
      <w:r>
        <w:rPr>
          <w:i/>
          <w:iCs/>
        </w:rPr>
        <w:t>Metáforas de la vida cotidiana</w:t>
      </w:r>
      <w:r>
        <w:rPr/>
        <w:t>. Madrid: Cátedra. (1a.edición en inglés, 1980).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Lakoff, G. y M. Johnson (1999): </w:t>
      </w:r>
      <w:r>
        <w:rPr>
          <w:i/>
          <w:iCs/>
          <w:lang w:val="en-US"/>
        </w:rPr>
        <w:t xml:space="preserve">Philosophy in the Flesh. The embodied mind and its challenge to western thought, </w:t>
      </w:r>
      <w:r>
        <w:rPr>
          <w:lang w:val="en-US"/>
        </w:rPr>
        <w:t>New York: Basic Books.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>Lakoff, G. (2008): “The neural theory of metaphor” en: Gibbs, R. (ed.).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Mac Cormac, E. (1990) </w:t>
      </w:r>
      <w:r>
        <w:rPr>
          <w:i/>
          <w:lang w:val="en-US"/>
        </w:rPr>
        <w:t>A Cognitive Theory of Metaphor</w:t>
      </w:r>
      <w:r>
        <w:rPr>
          <w:lang w:val="en-US"/>
        </w:rPr>
        <w:t>, Cambridge: The MIT Press.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Miller, G. (1979), "Images and Models, Similes and Metaphors", en A. Ortony, </w:t>
      </w:r>
      <w:r>
        <w:rPr>
          <w:i/>
          <w:lang w:val="en-US"/>
        </w:rPr>
        <w:t>Metaphor and Thought</w:t>
      </w:r>
      <w:r>
        <w:rPr>
          <w:lang w:val="en-US"/>
        </w:rPr>
        <w:t>", Cambridge: Cambridge University Press, pp. 202-250.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Ortony, A. (1979) </w:t>
      </w:r>
      <w:r>
        <w:rPr>
          <w:i/>
          <w:lang w:val="en-US"/>
        </w:rPr>
        <w:t>Metaphor and Thought</w:t>
      </w:r>
      <w:r>
        <w:rPr>
          <w:lang w:val="en-US"/>
        </w:rPr>
        <w:t>, Cambridge: Cambridge University Press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Otabe, T. (1995), "From "Clothing" to "Organ of Reason": An Essay on the Theories of Metaphor in German Philosophy in the Age of Enlightenment", en  Z. Radman, </w:t>
      </w:r>
      <w:r>
        <w:rPr>
          <w:i/>
          <w:iCs/>
          <w:lang w:val="en-US"/>
        </w:rPr>
        <w:t>From a Metaphorical Point of View. A Multidisciplinary Approach to the Cognitive Content of Metaphor</w:t>
      </w:r>
      <w:r>
        <w:rPr>
          <w:lang w:val="en-US"/>
        </w:rPr>
        <w:t>, Berlin/New York:Walter de Gruyter, pp.</w:t>
      </w:r>
      <w:r>
        <w:rPr>
          <w:b/>
          <w:lang w:val="en-US"/>
        </w:rPr>
        <w:t xml:space="preserve"> </w:t>
      </w:r>
      <w:r>
        <w:rPr>
          <w:lang w:val="en-US"/>
        </w:rPr>
        <w:t>7-25.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Palma, Héctor (2004) </w:t>
      </w:r>
      <w:r>
        <w:rPr>
          <w:i/>
        </w:rPr>
        <w:t>Metáforas en la evolución de las ciencias.</w:t>
      </w:r>
      <w:r>
        <w:rPr/>
        <w:t xml:space="preserve"> Buenos Aires: J. Baudino Ediciones.</w:t>
      </w:r>
    </w:p>
    <w:p>
      <w:pPr>
        <w:pStyle w:val="style45"/>
        <w:numPr>
          <w:ilvl w:val="0"/>
          <w:numId w:val="3"/>
        </w:numPr>
        <w:jc w:val="both"/>
      </w:pPr>
      <w:r>
        <w:rPr/>
        <w:t xml:space="preserve">Pinker, S. (2007) </w:t>
      </w:r>
      <w:r>
        <w:rPr>
          <w:i/>
        </w:rPr>
        <w:t>El mundo de las palabras. Una introducción a la naturaleza humana</w:t>
      </w:r>
      <w:r>
        <w:rPr/>
        <w:t>, Barcelona/Buenos Aires/México: Paidós, cap. 5.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Prelli, L. (1989): </w:t>
      </w:r>
      <w:r>
        <w:rPr>
          <w:i/>
          <w:iCs/>
          <w:lang w:val="en-US"/>
        </w:rPr>
        <w:t>A Rhetoric of Science. Inventing Scientific Discourse</w:t>
      </w:r>
      <w:r>
        <w:rPr>
          <w:lang w:val="en-US"/>
        </w:rPr>
        <w:t>. Columbia: University of South Carolina Press.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Radman, Z. (1995) </w:t>
      </w:r>
      <w:r>
        <w:rPr>
          <w:i/>
          <w:iCs/>
          <w:lang w:val="en-US"/>
        </w:rPr>
        <w:t>From a Metaphorical Point of View</w:t>
      </w:r>
      <w:r>
        <w:rPr>
          <w:lang w:val="en-US"/>
        </w:rPr>
        <w:t>, Berlin/New York: Walter de Gruyter.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it-IT"/>
        </w:rPr>
        <w:t xml:space="preserve">Ricoeur, Paul (2001) </w:t>
      </w:r>
      <w:r>
        <w:rPr>
          <w:i/>
          <w:lang w:val="it-IT"/>
        </w:rPr>
        <w:t>La metáfora viva</w:t>
      </w:r>
      <w:r>
        <w:rPr>
          <w:lang w:val="it-IT"/>
        </w:rPr>
        <w:t>. Madrid, Trotta-Cristinadad.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Steen, Gerard </w:t>
      </w:r>
      <w:r>
        <w:rPr>
          <w:i/>
          <w:lang w:val="en-US"/>
        </w:rPr>
        <w:t>et al.</w:t>
      </w:r>
      <w:r>
        <w:rPr>
          <w:lang w:val="en-US"/>
        </w:rPr>
        <w:t xml:space="preserve"> (2010) </w:t>
      </w:r>
      <w:r>
        <w:rPr>
          <w:i/>
          <w:iCs/>
          <w:shd w:fill="FFFFFF" w:val="clear"/>
          <w:lang w:val="en-US"/>
        </w:rPr>
        <w:t>A method for linguistic metaphor identification: From MIP to MIPVU</w:t>
      </w:r>
      <w:r>
        <w:rPr>
          <w:iCs/>
          <w:shd w:fill="FFFFFF" w:val="clear"/>
          <w:lang w:val="en-US"/>
        </w:rPr>
        <w:t>,</w:t>
      </w:r>
      <w:r>
        <w:rPr>
          <w:i/>
          <w:iCs/>
          <w:shd w:fill="FFFFFF" w:val="clear"/>
          <w:lang w:val="en-US"/>
        </w:rPr>
        <w:t xml:space="preserve"> </w:t>
      </w:r>
      <w:r>
        <w:rPr>
          <w:shd w:fill="FFFFFF" w:val="clear"/>
          <w:lang w:val="en-US"/>
        </w:rPr>
        <w:t xml:space="preserve">Vol. 14. Amsterdam / Philadelphia: John Benjamins Publishing. 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Wee, Lionel (2005): "Constructing the source: metaphor as discourse strategy", </w:t>
      </w:r>
      <w:r>
        <w:rPr>
          <w:i/>
          <w:iCs/>
          <w:lang w:val="en-US"/>
        </w:rPr>
        <w:t>Discourse Studies</w:t>
      </w:r>
      <w:r>
        <w:rPr>
          <w:lang w:val="en-US"/>
        </w:rPr>
        <w:t xml:space="preserve"> 7 (3): 363-384.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de-DE"/>
        </w:rPr>
        <w:t xml:space="preserve">Weinrich, H. (1989): "Formen der Wissenschaftssprache". </w:t>
      </w:r>
      <w:r>
        <w:rPr>
          <w:i/>
          <w:iCs/>
          <w:lang w:val="de-DE"/>
        </w:rPr>
        <w:t>Akademie der Wissenschaften zu Berlin, Jahrbuch 1988</w:t>
      </w:r>
      <w:r>
        <w:rPr>
          <w:lang w:val="de-DE"/>
        </w:rPr>
        <w:t xml:space="preserve">. </w:t>
      </w:r>
      <w:r>
        <w:rPr>
          <w:lang w:val="en-US"/>
        </w:rPr>
        <w:t>Berlin/New York, Walter de Gruyter, pp. 119-158.</w:t>
      </w:r>
    </w:p>
    <w:p>
      <w:pPr>
        <w:pStyle w:val="style45"/>
        <w:numPr>
          <w:ilvl w:val="0"/>
          <w:numId w:val="3"/>
        </w:numPr>
        <w:jc w:val="both"/>
      </w:pPr>
      <w:r>
        <w:rPr>
          <w:lang w:val="en-US"/>
        </w:rPr>
        <w:t xml:space="preserve">Williams Camus, Julia (2009) "An Approximation to the Ideological Basis of Metaphors used for Cancer in the English and Spanish Press", </w:t>
      </w:r>
      <w:r>
        <w:rPr>
          <w:i/>
          <w:lang w:val="en-US"/>
        </w:rPr>
        <w:t>Forum</w:t>
      </w:r>
      <w:r>
        <w:rPr>
          <w:lang w:val="en-US"/>
        </w:rPr>
        <w:t xml:space="preserve"> 7 (1), 171-201.</w:t>
      </w:r>
    </w:p>
    <w:p>
      <w:pPr>
        <w:pStyle w:val="style0"/>
        <w:ind w:firstLine="45" w:left="57" w:right="0"/>
      </w:pPr>
      <w:r>
        <w:rPr>
          <w:lang w:val="en-US"/>
        </w:rPr>
      </w:r>
    </w:p>
    <w:p>
      <w:pPr>
        <w:pStyle w:val="style0"/>
        <w:jc w:val="both"/>
      </w:pPr>
      <w:r>
        <w:rPr>
          <w:u w:val="single"/>
        </w:rPr>
        <w:t>6.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Carga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horaria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Ocho</w:t>
      </w:r>
      <w:r>
        <w:rPr>
          <w:rFonts w:eastAsia="Times New Roman"/>
        </w:rPr>
        <w:t xml:space="preserve"> </w:t>
      </w:r>
      <w:r>
        <w:rPr/>
        <w:t>horas</w:t>
      </w:r>
      <w:r>
        <w:rPr>
          <w:rFonts w:eastAsia="Times New Roman"/>
        </w:rPr>
        <w:t xml:space="preserve"> </w:t>
      </w:r>
      <w:r>
        <w:rPr/>
        <w:t>semanales.</w:t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0"/>
        <w:jc w:val="both"/>
      </w:pPr>
      <w:r>
        <w:rPr>
          <w:u w:val="single"/>
        </w:rPr>
        <w:t>7.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Actividades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planificadas</w:t>
      </w:r>
      <w:r>
        <w:rPr>
          <w:rFonts w:eastAsia="Times New Roman"/>
          <w:u w:val="single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Exposiciones</w:t>
      </w:r>
      <w:r>
        <w:rPr>
          <w:rFonts w:eastAsia="Times New Roman"/>
        </w:rPr>
        <w:t xml:space="preserve"> </w:t>
      </w:r>
      <w:r>
        <w:rPr/>
        <w:t>del</w:t>
      </w:r>
      <w:r>
        <w:rPr>
          <w:rFonts w:eastAsia="Times New Roman"/>
        </w:rPr>
        <w:t xml:space="preserve"> </w:t>
      </w:r>
      <w:r>
        <w:rPr/>
        <w:t>docente,</w:t>
      </w:r>
      <w:r>
        <w:rPr>
          <w:rFonts w:eastAsia="Times New Roman"/>
        </w:rPr>
        <w:t xml:space="preserve"> </w:t>
      </w:r>
      <w:r>
        <w:rPr/>
        <w:t>exposiciones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los</w:t>
      </w:r>
      <w:r>
        <w:rPr>
          <w:rFonts w:eastAsia="Times New Roman"/>
        </w:rPr>
        <w:t xml:space="preserve"> </w:t>
      </w:r>
      <w:r>
        <w:rPr/>
        <w:t>alumnos,</w:t>
      </w:r>
      <w:r>
        <w:rPr>
          <w:rFonts w:eastAsia="Times New Roman"/>
        </w:rPr>
        <w:t xml:space="preserve"> trabajo colectivo de análisis textual, ejercicios de reflexión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8.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Condiciones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de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regularidad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y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régimen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de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promoción</w:t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0"/>
        <w:jc w:val="both"/>
      </w:pPr>
      <w:r>
        <w:rPr/>
        <w:t>El</w:t>
      </w:r>
      <w:r>
        <w:rPr>
          <w:rFonts w:eastAsia="Times New Roman"/>
        </w:rPr>
        <w:t xml:space="preserve"> </w:t>
      </w:r>
      <w:r>
        <w:rPr/>
        <w:t>seminario</w:t>
      </w:r>
      <w:r>
        <w:rPr>
          <w:rFonts w:eastAsia="Times New Roman"/>
        </w:rPr>
        <w:t xml:space="preserve"> </w:t>
      </w:r>
      <w:r>
        <w:rPr/>
        <w:t>se</w:t>
      </w:r>
      <w:r>
        <w:rPr>
          <w:rFonts w:eastAsia="Times New Roman"/>
        </w:rPr>
        <w:t xml:space="preserve"> </w:t>
      </w:r>
      <w:r>
        <w:rPr/>
        <w:t>dictará</w:t>
      </w:r>
      <w:r>
        <w:rPr>
          <w:rFonts w:eastAsia="Times New Roman"/>
        </w:rPr>
        <w:t xml:space="preserve"> </w:t>
      </w:r>
      <w:r>
        <w:rPr/>
        <w:t>en</w:t>
      </w:r>
      <w:r>
        <w:rPr>
          <w:rFonts w:eastAsia="Times New Roman"/>
        </w:rPr>
        <w:t xml:space="preserve"> </w:t>
      </w:r>
      <w:r>
        <w:rPr/>
        <w:t>8</w:t>
      </w:r>
      <w:r>
        <w:rPr>
          <w:rFonts w:eastAsia="Times New Roman"/>
        </w:rPr>
        <w:t xml:space="preserve"> </w:t>
      </w:r>
      <w:r>
        <w:rPr/>
        <w:t>(ocho)</w:t>
      </w:r>
      <w:r>
        <w:rPr>
          <w:rFonts w:eastAsia="Times New Roman"/>
        </w:rPr>
        <w:t xml:space="preserve"> </w:t>
      </w:r>
      <w:r>
        <w:rPr/>
        <w:t>horas</w:t>
      </w:r>
      <w:r>
        <w:rPr>
          <w:rFonts w:eastAsia="Times New Roman"/>
        </w:rPr>
        <w:t xml:space="preserve"> </w:t>
      </w:r>
      <w:r>
        <w:rPr/>
        <w:t>semanales</w:t>
      </w:r>
      <w:r>
        <w:rPr>
          <w:rFonts w:eastAsia="Times New Roman"/>
        </w:rPr>
        <w:t xml:space="preserve"> durante los meses de febrero y marzo (8 semanas) </w:t>
      </w:r>
      <w:r>
        <w:rPr/>
        <w:t>y</w:t>
      </w:r>
      <w:r>
        <w:rPr>
          <w:rFonts w:eastAsia="Times New Roman"/>
        </w:rPr>
        <w:t xml:space="preserve"> </w:t>
      </w:r>
      <w:r>
        <w:rPr/>
        <w:t>los</w:t>
      </w:r>
      <w:r>
        <w:rPr>
          <w:rFonts w:eastAsia="Times New Roman"/>
        </w:rPr>
        <w:t xml:space="preserve"> </w:t>
      </w:r>
      <w:r>
        <w:rPr/>
        <w:t>alumnos</w:t>
      </w:r>
      <w:r>
        <w:rPr>
          <w:rFonts w:eastAsia="Times New Roman"/>
        </w:rPr>
        <w:t xml:space="preserve"> </w:t>
      </w:r>
      <w:r>
        <w:rPr/>
        <w:t>deberán</w:t>
      </w:r>
      <w:r>
        <w:rPr>
          <w:rFonts w:eastAsia="Times New Roman"/>
        </w:rPr>
        <w:t xml:space="preserve">  </w:t>
      </w:r>
      <w:r>
        <w:rPr/>
        <w:t>asistir</w:t>
      </w:r>
      <w:r>
        <w:rPr>
          <w:rFonts w:eastAsia="Times New Roman"/>
        </w:rPr>
        <w:t xml:space="preserve"> </w:t>
      </w:r>
      <w:r>
        <w:rPr/>
        <w:t>al</w:t>
      </w:r>
      <w:r>
        <w:rPr>
          <w:rFonts w:eastAsia="Times New Roman"/>
        </w:rPr>
        <w:t xml:space="preserve"> </w:t>
      </w:r>
      <w:r>
        <w:rPr/>
        <w:t>80</w:t>
      </w:r>
      <w:r>
        <w:rPr>
          <w:rFonts w:eastAsia="Times New Roman"/>
        </w:rPr>
        <w:t xml:space="preserve"> </w:t>
      </w:r>
      <w:r>
        <w:rPr/>
        <w:t>%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las</w:t>
      </w:r>
      <w:r>
        <w:rPr>
          <w:rFonts w:eastAsia="Times New Roman"/>
        </w:rPr>
        <w:t xml:space="preserve"> </w:t>
      </w:r>
      <w:r>
        <w:rPr/>
        <w:t>reuniones</w:t>
      </w:r>
      <w:r>
        <w:rPr>
          <w:rFonts w:eastAsia="Times New Roman"/>
        </w:rPr>
        <w:t xml:space="preserve"> </w:t>
      </w:r>
      <w:r>
        <w:rPr/>
        <w:t>y</w:t>
      </w:r>
      <w:r>
        <w:rPr>
          <w:rFonts w:eastAsia="Times New Roman"/>
        </w:rPr>
        <w:t xml:space="preserve"> </w:t>
      </w:r>
      <w:r>
        <w:rPr/>
        <w:t>prácticas</w:t>
      </w:r>
      <w:r>
        <w:rPr>
          <w:rFonts w:eastAsia="Times New Roman"/>
        </w:rPr>
        <w:t xml:space="preserve">. </w:t>
      </w:r>
    </w:p>
    <w:p>
      <w:pPr>
        <w:pStyle w:val="style0"/>
        <w:jc w:val="both"/>
      </w:pPr>
      <w:r>
        <w:rPr>
          <w:lang w:val="es-ES"/>
        </w:rPr>
        <w:t>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profesor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evaluará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participación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los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alumnos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con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una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nota.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Esta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nota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será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resultante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evaluación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que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profesor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realice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sobre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las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presentaciones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informes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parciales,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exposiciones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orales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individuales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grupales,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lecturas,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síntesis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informes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bibliográficos,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etc.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Si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ésta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fuera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inferior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cuatro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puntos,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significará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un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aplazo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Seminario.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Separadamente,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calificará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trabajo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monográfico.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Si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éste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fuera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rechazado,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los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interesados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tendrán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opción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este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caso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y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por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única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vez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presentarlo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nuevamente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antes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finalización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plazo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fijado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apartado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IV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(esto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es,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dentro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los</w:t>
      </w:r>
      <w:r>
        <w:rPr>
          <w:rFonts w:eastAsia="Times New Roman"/>
          <w:lang w:val="es-ES"/>
        </w:rPr>
        <w:t xml:space="preserve"> cuatro </w:t>
      </w:r>
      <w:r>
        <w:rPr>
          <w:lang w:val="es-ES"/>
        </w:rPr>
        <w:t>años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posteriores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finalización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seminario).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La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calificación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final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resultará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del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promedio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de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ambas</w:t>
      </w:r>
      <w:r>
        <w:rPr>
          <w:rFonts w:eastAsia="Times New Roman"/>
          <w:lang w:val="es-ES"/>
        </w:rPr>
        <w:t xml:space="preserve"> </w:t>
      </w:r>
      <w:r>
        <w:rPr>
          <w:lang w:val="es-ES"/>
        </w:rPr>
        <w:t>notas.</w:t>
      </w:r>
    </w:p>
    <w:p>
      <w:pPr>
        <w:pStyle w:val="style0"/>
        <w:jc w:val="both"/>
      </w:pPr>
      <w:r>
        <w:rPr>
          <w:u w:val="single"/>
        </w:rPr>
      </w:r>
    </w:p>
    <w:p>
      <w:pPr>
        <w:pStyle w:val="style0"/>
        <w:jc w:val="both"/>
      </w:pPr>
      <w:r>
        <w:rPr>
          <w:u w:val="single"/>
        </w:rPr>
        <w:t>9.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Recomendaciones</w:t>
      </w:r>
    </w:p>
    <w:p>
      <w:pPr>
        <w:pStyle w:val="style0"/>
        <w:jc w:val="both"/>
      </w:pPr>
      <w:r>
        <w:rPr>
          <w:rFonts w:eastAsia="Times New Roman"/>
          <w:b/>
        </w:rPr>
        <w:t xml:space="preserve"> </w:t>
      </w:r>
    </w:p>
    <w:p>
      <w:pPr>
        <w:pStyle w:val="style0"/>
        <w:jc w:val="both"/>
      </w:pPr>
      <w:r>
        <w:rPr/>
        <w:t xml:space="preserve">Es recomendable para una participación exitosa en el seminario haber aprobado las asignaturas </w:t>
      </w:r>
      <w:r>
        <w:rPr>
          <w:i/>
        </w:rPr>
        <w:t>Gramática</w:t>
      </w:r>
      <w:r>
        <w:rPr/>
        <w:t xml:space="preserve"> y </w:t>
      </w:r>
      <w:r>
        <w:rPr>
          <w:i/>
        </w:rPr>
        <w:t>Lingüística</w:t>
      </w:r>
      <w:r>
        <w:rPr/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/>
        <w:t>Firma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Guiomar Elena Ciapuscio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Profesora titular regular</w:t>
      </w:r>
    </w:p>
    <w:sectPr>
      <w:footerReference r:id="rId9" w:type="even"/>
      <w:footerReference r:id="rId10" w:type="default"/>
      <w:type w:val="nextPage"/>
      <w:pgSz w:h="15840" w:w="12240"/>
      <w:pgMar w:bottom="1695" w:footer="1417" w:gutter="0" w:header="0" w:left="1701" w:right="1701" w:top="708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-"/>
      <w:lvlJc w:val="left"/>
      <w:pPr>
        <w:ind w:hanging="360" w:left="777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9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1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3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5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7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9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1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37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Times New Roman" w:eastAsia="Bitstream Vera Sans" w:hAnsi="Times New Roman"/>
      <w:color w:val="auto"/>
      <w:sz w:val="24"/>
      <w:szCs w:val="24"/>
      <w:lang w:bidi="ar-SA" w:eastAsia="es-AR" w:val="es-AR"/>
    </w:rPr>
  </w:style>
  <w:style w:styleId="style1" w:type="paragraph">
    <w:name w:val="Encabezado 1"/>
    <w:basedOn w:val="style0"/>
    <w:next w:val="style35"/>
    <w:pPr>
      <w:widowControl/>
      <w:suppressAutoHyphens w:val="false"/>
      <w:spacing w:after="28" w:before="28"/>
    </w:pPr>
    <w:rPr>
      <w:rFonts w:eastAsia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WW-Absatz-Standardschriftart11111111"/>
    <w:next w:val="style25"/>
    <w:rPr/>
  </w:style>
  <w:style w:styleId="style26" w:type="character">
    <w:name w:val="WW-Absatz-Standardschriftart111111111"/>
    <w:next w:val="style26"/>
    <w:rPr/>
  </w:style>
  <w:style w:styleId="style27" w:type="character">
    <w:name w:val="Título 1 Car"/>
    <w:basedOn w:val="style15"/>
    <w:next w:val="style27"/>
    <w:rPr>
      <w:b/>
      <w:bCs/>
      <w:sz w:val="48"/>
      <w:szCs w:val="48"/>
    </w:rPr>
  </w:style>
  <w:style w:styleId="style28" w:type="character">
    <w:name w:val="Enlace de Internet"/>
    <w:basedOn w:val="style15"/>
    <w:next w:val="style28"/>
    <w:rPr>
      <w:color w:val="0000FF"/>
      <w:u w:val="single"/>
      <w:lang w:bidi="es-ES" w:eastAsia="es-ES" w:val="es-ES"/>
    </w:rPr>
  </w:style>
  <w:style w:styleId="style29" w:type="character">
    <w:name w:val="Muy destacado"/>
    <w:basedOn w:val="style15"/>
    <w:next w:val="style29"/>
    <w:rPr>
      <w:b/>
      <w:bCs/>
    </w:rPr>
  </w:style>
  <w:style w:styleId="style30" w:type="character">
    <w:name w:val="Texto de globo Car"/>
    <w:basedOn w:val="style15"/>
    <w:next w:val="style30"/>
    <w:rPr>
      <w:rFonts w:ascii="Tahoma" w:cs="Tahoma" w:eastAsia="Bitstream Vera Sans" w:hAnsi="Tahoma"/>
      <w:sz w:val="16"/>
      <w:szCs w:val="16"/>
    </w:rPr>
  </w:style>
  <w:style w:styleId="style31" w:type="character">
    <w:name w:val="ListLabel 1"/>
    <w:next w:val="style31"/>
    <w:rPr>
      <w:rFonts w:cs="Courier New"/>
    </w:rPr>
  </w:style>
  <w:style w:styleId="style32" w:type="character">
    <w:name w:val="ListLabel 2"/>
    <w:next w:val="style32"/>
    <w:rPr>
      <w:rFonts w:cs="Times New Roman" w:eastAsia="Times New Roman"/>
    </w:rPr>
  </w:style>
  <w:style w:styleId="style33" w:type="character">
    <w:name w:val="ListLabel 3"/>
    <w:next w:val="style33"/>
    <w:rPr>
      <w:rFonts w:cs="Times New Roman"/>
    </w:rPr>
  </w:style>
  <w:style w:styleId="style34" w:type="paragraph">
    <w:name w:val="Encabezado"/>
    <w:basedOn w:val="style0"/>
    <w:next w:val="style35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35" w:type="paragraph">
    <w:name w:val="Cuerpo de texto"/>
    <w:basedOn w:val="style0"/>
    <w:next w:val="style35"/>
    <w:pPr>
      <w:spacing w:after="120" w:before="0"/>
    </w:pPr>
    <w:rPr/>
  </w:style>
  <w:style w:styleId="style36" w:type="paragraph">
    <w:name w:val="Lista"/>
    <w:basedOn w:val="style35"/>
    <w:next w:val="style36"/>
    <w:pPr/>
    <w:rPr>
      <w:rFonts w:cs="FreeSans"/>
    </w:rPr>
  </w:style>
  <w:style w:styleId="style37" w:type="paragraph">
    <w:name w:val="Etiqueta"/>
    <w:basedOn w:val="style0"/>
    <w:next w:val="style37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38" w:type="paragraph">
    <w:name w:val="Índice"/>
    <w:basedOn w:val="style0"/>
    <w:next w:val="style38"/>
    <w:pPr>
      <w:suppressLineNumbers/>
    </w:pPr>
    <w:rPr>
      <w:rFonts w:cs="FreeSans"/>
    </w:rPr>
  </w:style>
  <w:style w:styleId="style39" w:type="paragraph">
    <w:name w:val="Encabezado1"/>
    <w:basedOn w:val="style0"/>
    <w:next w:val="style39"/>
    <w:pPr>
      <w:keepNext/>
      <w:spacing w:after="120" w:before="240"/>
    </w:pPr>
    <w:rPr>
      <w:rFonts w:ascii="Arial" w:cs="Bitstream Vera Sans" w:hAnsi="Arial"/>
      <w:sz w:val="28"/>
      <w:szCs w:val="28"/>
    </w:rPr>
  </w:style>
  <w:style w:styleId="style40" w:type="paragraph">
    <w:name w:val="caption"/>
    <w:basedOn w:val="style0"/>
    <w:next w:val="style40"/>
    <w:pPr>
      <w:suppressLineNumbers/>
      <w:spacing w:after="120" w:before="120"/>
    </w:pPr>
    <w:rPr>
      <w:i/>
      <w:iCs/>
    </w:rPr>
  </w:style>
  <w:style w:styleId="style41" w:type="paragraph">
    <w:name w:val="Pie de página"/>
    <w:basedOn w:val="style0"/>
    <w:next w:val="style41"/>
    <w:pPr>
      <w:suppressLineNumbers/>
      <w:tabs>
        <w:tab w:leader="none" w:pos="4419" w:val="center"/>
        <w:tab w:leader="none" w:pos="8838" w:val="right"/>
      </w:tabs>
    </w:pPr>
    <w:rPr/>
  </w:style>
  <w:style w:styleId="style42" w:type="paragraph">
    <w:name w:val="Encabezamiento"/>
    <w:basedOn w:val="style0"/>
    <w:next w:val="style42"/>
    <w:pPr>
      <w:suppressLineNumbers/>
      <w:tabs>
        <w:tab w:leader="none" w:pos="4818" w:val="center"/>
        <w:tab w:leader="none" w:pos="9637" w:val="right"/>
      </w:tabs>
    </w:pPr>
    <w:rPr/>
  </w:style>
  <w:style w:styleId="style43" w:type="paragraph">
    <w:name w:val="Contenido de la tabla"/>
    <w:basedOn w:val="style0"/>
    <w:next w:val="style43"/>
    <w:pPr>
      <w:suppressLineNumbers/>
    </w:pPr>
    <w:rPr/>
  </w:style>
  <w:style w:styleId="style44" w:type="paragraph">
    <w:name w:val="Encabezado de la tabla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List Paragraph"/>
    <w:basedOn w:val="style0"/>
    <w:next w:val="style45"/>
    <w:pPr>
      <w:widowControl/>
      <w:suppressAutoHyphens w:val="false"/>
      <w:ind w:hanging="0" w:left="720" w:right="0"/>
    </w:pPr>
    <w:rPr>
      <w:rFonts w:eastAsia="Times New Roman"/>
      <w:lang w:eastAsia="es-ES" w:val="es-ES"/>
    </w:rPr>
  </w:style>
  <w:style w:styleId="style46" w:type="paragraph">
    <w:name w:val="Balloon Text"/>
    <w:basedOn w:val="style0"/>
    <w:next w:val="style4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hyperlink" Target="http://www.sciencedirect.com/science/journal/03782166/37/10" TargetMode="External"/><Relationship Id="rId4" Type="http://schemas.openxmlformats.org/officeDocument/2006/relationships/hyperlink" Target="http://books.google.com/books?hl=en&amp;lr=&amp;id=dnRKu0WAn4sC&amp;oi=fnd&amp;pg=PR11&amp;dq=info:wCMvuwucWu4J:scholar.google.com&amp;ots=FNumWDADyQ&amp;sig=nSmJXEnD4yGZtmDMxXc6FpmDF-0" TargetMode="External"/><Relationship Id="rId5" Type="http://schemas.openxmlformats.org/officeDocument/2006/relationships/hyperlink" Target="http://revistaretor.org/" TargetMode="External"/><Relationship Id="rId6" Type="http://schemas.openxmlformats.org/officeDocument/2006/relationships/hyperlink" Target="http://revistaretor.org/" TargetMode="External"/><Relationship Id="rId7" Type="http://schemas.openxmlformats.org/officeDocument/2006/relationships/hyperlink" Target="http://www.sciencedirect.com/science/journal/03782166/37/10" TargetMode="External"/><Relationship Id="rId8" Type="http://schemas.openxmlformats.org/officeDocument/2006/relationships/hyperlink" Target="http://books.google.com/books?hl=en&amp;lr=&amp;id=dnRKu0WAn4sC&amp;oi=fnd&amp;pg=PR11&amp;dq=info:wCMvuwucWu4J:scholar.google.com&amp;ots=FNumWDADyQ&amp;sig=nSmJXEnD4yGZtmDMxXc6FpmDF-0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2014-10-12T22:42:00.00Z</dcterms:created>
  <dc:creator>Guiomar</dc:creator>
  <cp:lastModifiedBy>Guiomar</cp:lastModifiedBy>
  <cp:lastPrinted>2014-10-13T13:57:00.00Z</cp:lastPrinted>
  <dcterms:modified xsi:type="dcterms:W3CDTF">2014-10-13T13:57:00.00Z</dcterms:modified>
  <cp:revision>9</cp:revision>
</cp:coreProperties>
</file>