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2</w:t>
      </w:r>
      <w:r>
        <w:rPr>
          <w:rFonts w:cs="Times New Roman" w:ascii="Times New Roman" w:hAnsi="Times New Roman"/>
          <w:b/>
          <w:sz w:val="22"/>
          <w:szCs w:val="22"/>
        </w:rPr>
        <w:t>º CUATRIMESTRE 2023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INDICACIONES PARA LA PRESENTACIÓN DE LOS PROGRAMAS DE: 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SEMINARIOS CUATRIMESTRALES - SEMINARIOS PST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DEPARTAMENTO DE  LETRAS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FACULTAD DE FILOSOFÍA Y LETRAS - UBA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5100" w:leader="none"/>
        </w:tabs>
        <w:ind w:left="0" w:hanging="2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/>
        <w:spacing w:lineRule="auto" w:line="240"/>
        <w:ind w:left="0" w:hanging="2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Visto el </w:t>
      </w:r>
      <w:r>
        <w:rPr>
          <w:b/>
          <w:sz w:val="22"/>
          <w:szCs w:val="22"/>
        </w:rPr>
        <w:t>REGLAMENTO ACADÉMICO aprobado por Resolución (CD) Nº 4428/17</w:t>
      </w:r>
      <w:r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acompaña el formato que deberán cumplimentar los programas de estudio y los textos que deberán incluirse en los ítems relativos a la carga horaria y régimen de promoción, atendiendo asimismo a las pautas complementarias para el dictado de las asignaturas de grado durante la cursada del </w:t>
      </w:r>
      <w:r>
        <w:rPr>
          <w:b/>
          <w:sz w:val="22"/>
          <w:szCs w:val="22"/>
        </w:rPr>
        <w:t>Bimestre de Verano y el 1º y 2º cuatrimestre de 2023</w:t>
      </w:r>
      <w:r>
        <w:rPr>
          <w:sz w:val="22"/>
          <w:szCs w:val="22"/>
        </w:rPr>
        <w:t>, aprobadas por REDEC-2022-2847-UBA-DCT#FFYL, a las que deberán ajustarse aquellos equipos docentes:</w:t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Onormal"/>
        <w:spacing w:lineRule="auto" w:line="240"/>
        <w:ind w:left="0" w:hanging="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spacing w:lineRule="auto" w:line="240"/>
        <w:ind w:left="0" w:hanging="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  <w:b/>
        </w:rPr>
        <w:t>Seminarios de grado Cuatrimestrales</w:t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</w:rPr>
        <w:t>Los seminarios de grado cuatrimestrales deberán dictarse completamente en modalidad virtual. El dictado virtual podrá estar compuesto por actividades sincrónicas y asincrónicas.</w:t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</w:rPr>
        <w:t xml:space="preserve">Excepcionalmente, los departamentos de cada carrera podrán programar hasta un quince por ciento (15%) de su oferta cuatrimestral de seminarios en modalidad presencial. </w:t>
      </w:r>
    </w:p>
    <w:p>
      <w:pPr>
        <w:pStyle w:val="LOnormal"/>
        <w:spacing w:lineRule="auto" w:line="240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ind w:left="0" w:hanging="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spacing w:lineRule="auto" w:line="240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  <w:b/>
        </w:rPr>
        <w:t>Seminarios de Prácticas Socioeducativas Territorializadas (PST)</w:t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</w:rPr>
        <w:t>Los seminarios de Prácticas Socioeducativas Territorializadas deberán dictar el cien por ciento (100%) de las horas en modalidad presencial, siguiendo los lineamientos establecidos por las Resoluciones sobre las Prácticas Sociales Educativas de la Universidad de Buenos Aires (Res. CS 520/2010, 3653/2011 y 172/2014) y de la Facultad de Filosofía y Letras (Res. CD 3155/2016).</w:t>
      </w:r>
    </w:p>
    <w:p>
      <w:pPr>
        <w:pStyle w:val="LOnormal"/>
        <w:spacing w:lineRule="auto" w:line="240"/>
        <w:ind w:left="0" w:hanging="2"/>
        <w:jc w:val="both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Fecha de Presentación en los Departamentos Docentes de los programas correspondientes: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220"/>
        <w:gridCol w:w="7700"/>
      </w:tblGrid>
      <w:tr>
        <w:trPr>
          <w:trHeight w:val="270" w:hRule="atLeast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CUATRIMESTRE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PERSONAL DOCENTE</w:t>
            </w:r>
          </w:p>
        </w:tc>
      </w:tr>
      <w:tr>
        <w:trPr>
          <w:trHeight w:val="601" w:hRule="atLeast"/>
        </w:trPr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Envío por correo electrónico al DEPARTAMENTO DOCENTE de propuestas de PROGRAMAS DE ASIGNATURAS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º Cuatrimestre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SEMINARIOS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: Hasta el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vertAlign w:val="subscript"/>
                <w:lang w:val="es-AR" w:eastAsia="es-AR" w:bidi="ar-SA"/>
              </w:rPr>
              <w:t>15/05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/202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</w:tbl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Los programas determinan la oferta en la programación y la respaldan, sin el programa no se puede programar el dictado del seminario.</w:t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Formato de presentación: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Todos los programas correspondientes a la programación deberán ser enviados por correo electrónico al Departamento letrasuba@gmail.com a fin de cotejar la correcta confección de los mismos, </w:t>
      </w:r>
      <w:r>
        <w:rPr>
          <w:rFonts w:cs="Times New Roman" w:ascii="Times New Roman" w:hAnsi="Times New Roman"/>
          <w:b/>
          <w:sz w:val="22"/>
          <w:szCs w:val="22"/>
        </w:rPr>
        <w:t>en formato editable (no PDF)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Modelo de Carátula, encabezado e ítems de contenido: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Ver archivo SEMINARIOS Modelo de presentación de Programas.doc</w:t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Aspectos generales a tener en cuenta: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los programas constituyen documentación oficial de esta facultad y por lo tanto deben ajustarse a la normativa vigente en cuanto a forma (carátula y encabezado) y contenido reglamentario (sistema de evaluación).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el nombre de los seminarios fijos debe coincidir con el nombre establecido en el Plan de Estudios respectivo.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debe ser firmado por el Profesor/a Titular o Asociado, en caso contrario serán firmados por el Director/a del Departamento.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las firmas de los profesores deben estar aclaradas y con indicación del cargo correspondiente.</w:t>
      </w:r>
    </w:p>
    <w:p>
      <w:pPr>
        <w:pStyle w:val="Normal"/>
        <w:ind w:left="707" w:hanging="1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12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Normativa para SEMINARIOS, Res. (CD) Nº 4428/17 </w:t>
      </w:r>
    </w:p>
    <w:p>
      <w:pPr>
        <w:pStyle w:val="Normal"/>
        <w:tabs>
          <w:tab w:val="clear" w:pos="720"/>
          <w:tab w:val="left" w:pos="1276" w:leader="none"/>
        </w:tabs>
        <w:ind w:left="0" w:hanging="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jc w:val="both"/>
        <w:rPr>
          <w:b/>
          <w:b/>
          <w:bCs/>
        </w:rPr>
      </w:pPr>
      <w:r>
        <w:rPr>
          <w:b/>
          <w:bCs/>
        </w:rPr>
        <w:t>CARGA HORARIA: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81"/>
        <w:gridCol w:w="3383"/>
        <w:gridCol w:w="3157"/>
      </w:tblGrid>
      <w:tr>
        <w:trPr>
          <w:trHeight w:val="583" w:hRule="atLeast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SEMINARIOS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BIMESTRALESS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SEMINARIOS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CUATRIMESTRALES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SEMINARIOS</w:t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  <w:t>ANUALES</w:t>
            </w:r>
          </w:p>
        </w:tc>
      </w:tr>
      <w:tr>
        <w:trPr>
          <w:trHeight w:val="1649" w:hRule="atLeast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/>
              <w:t>tienen una duración de 64 (sesenta y cuatro) horas distribuidas en siete (7) semanas de clases.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/>
              <w:t>tienen una duración mínima de 64 (sesenta y cuatro) horas y comprenden un mínimo de 4 (cuatro) y un máximo de 6 (seis) horas semanales de dictado de clases;</w:t>
            </w:r>
          </w:p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/>
              <w:t>Seminarios PST: pueden poseer hasta 30 (treinta) horas en territorio.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/>
              <w:t>tienen una duración mínima de 128 (ciento veintiocho) horas y comprenden un mínimo de 4 (cuatro) y un máximo de 6 (seis) horas semanales de dictado de clases.</w:t>
            </w:r>
          </w:p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hanging="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hanging="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SISTEMA DE EVALUACIÓN Y PROMOCIÓN:</w:t>
      </w:r>
    </w:p>
    <w:p>
      <w:pPr>
        <w:pStyle w:val="Normal"/>
        <w:widowControl/>
        <w:spacing w:lineRule="auto" w:line="240" w:before="0" w:after="120"/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Regularización del seminario: </w:t>
      </w:r>
    </w:p>
    <w:p>
      <w:pPr>
        <w:pStyle w:val="Normal"/>
        <w:widowControl/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>
      <w:pPr>
        <w:pStyle w:val="Normal"/>
        <w:widowControl/>
        <w:spacing w:lineRule="auto" w:line="240" w:before="0" w:after="120"/>
        <w:ind w:left="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Aprobación del seminario: </w:t>
      </w:r>
    </w:p>
    <w:p>
      <w:pPr>
        <w:pStyle w:val="Normal"/>
        <w:widowControl/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>
      <w:pPr>
        <w:pStyle w:val="Normal"/>
        <w:widowControl/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Otras cuestiones a tener en cuenta:</w:t>
      </w:r>
    </w:p>
    <w:p>
      <w:pPr>
        <w:pStyle w:val="Normal"/>
        <w:ind w:left="708" w:hanging="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CALIFICACIONES</w:t>
      </w:r>
    </w:p>
    <w:p>
      <w:pPr>
        <w:pStyle w:val="Normal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Tabla de calificaciones</w:t>
      </w:r>
      <w:r>
        <w:rPr>
          <w:rFonts w:cs="Times New Roman" w:ascii="Times New Roman" w:hAnsi="Times New Roman"/>
          <w:sz w:val="22"/>
          <w:szCs w:val="22"/>
        </w:rPr>
        <w:t xml:space="preserve"> con las equivalencias numéricas que en cada caso se indican: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Reprobado: 0</w:t>
        <w:tab/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Insuficiente: 1, 2, 3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Aprobado: 4 y 5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Bueno: 6 y 7</w:t>
        <w:tab/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Distinguido: 8 y 9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Sobresaliente: 10</w:t>
      </w:r>
    </w:p>
    <w:p>
      <w:pPr>
        <w:pStyle w:val="Normal"/>
        <w:widowControl/>
        <w:tabs>
          <w:tab w:val="left" w:pos="0" w:leader="none"/>
          <w:tab w:val="left" w:pos="14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Todas las calificaciones se vuelcan en las actas con números enteros</w:t>
      </w:r>
      <w:r>
        <w:rPr>
          <w:rFonts w:cs="Times New Roman" w:ascii="Times New Roman" w:hAnsi="Times New Roman"/>
          <w:sz w:val="22"/>
          <w:szCs w:val="22"/>
        </w:rPr>
        <w:t>. Tanto al promediar como para establecer la calificación final, se computará como insuficiente cualquier cifra con fracciones que no alcancen los 4 (cuatro) puntos. Para el resto de las calificaciones, las fracciones de 0,50 (cincuenta centésimos) puntos o más se computarán como el número entero inmediato superior y las que no alcancen ese número como el entero inmediato inferior.</w:t>
      </w:r>
    </w:p>
    <w:p>
      <w:pPr>
        <w:pStyle w:val="Normal"/>
        <w:spacing w:lineRule="auto" w:line="240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VIGENCIA DE LA REGULARIDAD: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El plazo de presentación del trabajo final de los seminarios es de 4 (cuatro) años posteriores a su finalización. </w:t>
      </w:r>
    </w:p>
    <w:p>
      <w:pPr>
        <w:pStyle w:val="Normal"/>
        <w:ind w:left="708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RÉGIMEN TRANSITORIO DE ASISTENCIA, REGULARIDAD Y MODALIDADES DE EVALUACIÓN DE MATERIAS: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los/las Profesores a cargo del seminario.</w:t>
      </w:r>
    </w:p>
    <w:p>
      <w:pPr>
        <w:pStyle w:val="Normal"/>
        <w:spacing w:lineRule="auto" w:line="240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851" w:gutter="0" w:header="0" w:top="567" w:footer="403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0</w:t>
    </w:r>
    <w:r>
      <w:rPr>
        <w:rFonts w:cs="Times New Roman" w:ascii="Times New Roman" w:hAnsi="Times New Roman"/>
      </w:rPr>
      <w:fldChar w:fldCharType="end"/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right="360" w:hanging="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right="360" w:hanging="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pacing w:lineRule="auto" w:line="240"/>
      <w:ind w:left="0" w:right="360" w:hanging="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Liberation Serif" w:hAnsi="Liberation Serif" w:eastAsia="Times New Roman" w:cs="Liberation Serif"/>
      <w:color w:val="000000"/>
      <w:kern w:val="0"/>
      <w:sz w:val="24"/>
      <w:szCs w:val="24"/>
      <w:vertAlign w:val="subscript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9"/>
    </w:pPr>
    <w:rPr>
      <w:b/>
      <w:bCs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ladenotaalpie">
    <w:name w:val="Ancla de nota al pie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EnlacedeInternet">
    <w:name w:val="Enlace de Internet"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  <w:outlineLvl w:val="9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jc w:val="both"/>
      <w:outlineLvl w:val="9"/>
    </w:pPr>
    <w:rPr>
      <w:lang w:eastAsia="es-ES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  <w:outlineLvl w:val="9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outlineLvl w:val="9"/>
    </w:pPr>
    <w:rPr>
      <w:rFonts w:cs="Lohit Devanagari"/>
      <w:lang w:val="zxx" w:eastAsia="zxx" w:bidi="zxx"/>
    </w:rPr>
  </w:style>
  <w:style w:type="paragraph" w:styleId="Ttulogeneral">
    <w:name w:val="Title"/>
    <w:basedOn w:val="Normal"/>
    <w:qFormat/>
    <w:pPr>
      <w:jc w:val="center"/>
      <w:outlineLvl w:val="9"/>
    </w:pPr>
    <w:rPr>
      <w:b/>
      <w:bCs/>
      <w:u w:val="single"/>
      <w:lang w:eastAsia="es-ES"/>
    </w:rPr>
  </w:style>
  <w:style w:type="paragraph" w:styleId="Notaalpie">
    <w:name w:val="Footnote Text"/>
    <w:basedOn w:val="Normal"/>
    <w:pPr>
      <w:outlineLvl w:val="9"/>
    </w:pPr>
    <w:rPr>
      <w:sz w:val="20"/>
      <w:szCs w:val="20"/>
      <w:lang w:val="es-ES" w:eastAsia="es-ES"/>
    </w:rPr>
  </w:style>
  <w:style w:type="paragraph" w:styleId="Cuerpodetextoconsangra">
    <w:name w:val="Body Text Indent"/>
    <w:basedOn w:val="Normal"/>
    <w:pPr>
      <w:ind w:left="-1" w:firstLine="1416"/>
      <w:jc w:val="both"/>
      <w:outlineLvl w:val="9"/>
    </w:pPr>
    <w:rPr>
      <w:lang w:val="es-ES" w:eastAsia="es-ES"/>
    </w:rPr>
  </w:style>
  <w:style w:type="paragraph" w:styleId="BodyTextIndent3">
    <w:name w:val="Body Text Indent 3"/>
    <w:basedOn w:val="Normal"/>
    <w:qFormat/>
    <w:pPr>
      <w:spacing w:before="0" w:after="120"/>
      <w:ind w:left="283" w:hanging="1"/>
      <w:outlineLvl w:val="9"/>
    </w:pPr>
    <w:rPr>
      <w:sz w:val="16"/>
      <w:szCs w:val="16"/>
      <w:lang w:val="es-ES" w:eastAsia="es-ES"/>
    </w:rPr>
  </w:style>
  <w:style w:type="paragraph" w:styleId="ListParagraph">
    <w:name w:val="List Paragraph"/>
    <w:basedOn w:val="Normal"/>
    <w:qFormat/>
    <w:pPr>
      <w:ind w:left="708" w:hanging="1"/>
      <w:outlineLvl w:val="9"/>
    </w:pPr>
    <w:rPr>
      <w:lang w:val="es-ES" w:eastAsia="es-ES"/>
    </w:rPr>
  </w:style>
  <w:style w:type="paragraph" w:styleId="BodyText2">
    <w:name w:val="Body Text 2"/>
    <w:basedOn w:val="Normal"/>
    <w:qFormat/>
    <w:pPr>
      <w:tabs>
        <w:tab w:val="left" w:pos="0" w:leader="none"/>
        <w:tab w:val="left" w:pos="144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suppressAutoHyphens w:val="false"/>
      <w:overflowPunct w:val="true"/>
      <w:jc w:val="both"/>
      <w:textAlignment w:val="baseline"/>
      <w:outlineLvl w:val="9"/>
    </w:pPr>
    <w:rPr>
      <w:szCs w:val="20"/>
      <w:lang w:val="es-ES"/>
    </w:rPr>
  </w:style>
  <w:style w:type="paragraph" w:styleId="BodyText3">
    <w:name w:val="Body Text 3"/>
    <w:basedOn w:val="Normal"/>
    <w:qFormat/>
    <w:pPr>
      <w:jc w:val="both"/>
      <w:outlineLvl w:val="9"/>
    </w:pPr>
    <w:rPr>
      <w:b/>
      <w:szCs w:val="20"/>
      <w:lang w:val="es-ES" w:eastAsia="es-ES"/>
    </w:rPr>
  </w:style>
  <w:style w:type="paragraph" w:styleId="Cabeceraypie">
    <w:name w:val="Cabecera y pie"/>
    <w:basedOn w:val="Normal"/>
    <w:qFormat/>
    <w:pPr>
      <w:outlineLvl w:val="9"/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outlineLvl w:val="9"/>
    </w:pPr>
    <w:rPr>
      <w:lang w:val="es-ES" w:eastAsia="es-ES"/>
    </w:rPr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outlineLvl w:val="9"/>
    </w:pPr>
    <w:rPr>
      <w:lang w:val="es-ES" w:eastAsia="es-ES"/>
    </w:rPr>
  </w:style>
  <w:style w:type="paragraph" w:styleId="Contenidodelatabla" w:customStyle="1">
    <w:name w:val="Contenido de la tabla"/>
    <w:basedOn w:val="Normal"/>
    <w:qFormat/>
    <w:pPr>
      <w:suppressLineNumbers/>
      <w:suppressAutoHyphens w:val="false"/>
      <w:spacing w:lineRule="auto" w:line="276" w:before="0" w:after="200"/>
      <w:outlineLvl w:val="9"/>
    </w:pPr>
    <w:rPr>
      <w:rFonts w:ascii="Calibri" w:hAnsi="Calibri" w:eastAsia="Calibri"/>
      <w:sz w:val="22"/>
      <w:szCs w:val="22"/>
      <w:lang w:val="es-ES" w:eastAsia="ar-SA"/>
    </w:rPr>
  </w:style>
  <w:style w:type="paragraph" w:styleId="NormalWeb">
    <w:name w:val="Normal (Web)"/>
    <w:basedOn w:val="Normal"/>
    <w:qFormat/>
    <w:pPr>
      <w:spacing w:beforeAutospacing="1" w:afterAutospacing="1"/>
      <w:outlineLvl w:val="9"/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Liberation Serif" w:hAnsi="Liberation Serif" w:eastAsia="Times New Roman" w:cs="Liberation Serif"/>
      <w:color w:val="000000"/>
      <w:kern w:val="0"/>
      <w:sz w:val="24"/>
      <w:szCs w:val="24"/>
      <w:vertAlign w:val="subscript"/>
      <w:lang w:val="es-AR" w:eastAsia="zh-CN" w:bidi="ar-SA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Liberation Serif" w:hAnsi="Liberation Serif" w:eastAsia="Times New Roman" w:cs="Liberation Serif"/>
      <w:color w:val="000000"/>
      <w:kern w:val="0"/>
      <w:sz w:val="24"/>
      <w:szCs w:val="24"/>
      <w:vertAlign w:val="subscript"/>
      <w:lang w:val="es-AR" w:eastAsia="zh-CN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independiente21" w:customStyle="1">
    <w:name w:val="Texto independiente 21"/>
    <w:basedOn w:val="Normal"/>
    <w:qFormat/>
    <w:rsid w:val="00dc7508"/>
    <w:pPr>
      <w:widowControl/>
      <w:tabs>
        <w:tab w:val="left" w:pos="0" w:leader="none"/>
        <w:tab w:val="left" w:pos="144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overflowPunct w:val="true"/>
      <w:spacing w:lineRule="auto" w:line="240"/>
      <w:ind w:left="0" w:hanging="0"/>
      <w:jc w:val="both"/>
      <w:textAlignment w:val="baseline"/>
      <w:outlineLvl w:val="9"/>
    </w:pPr>
    <w:rPr>
      <w:rFonts w:ascii="Times New Roman" w:hAnsi="Times New Roman" w:cs="Times New Roman"/>
      <w:color w:val="auto"/>
      <w:szCs w:val="20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bDB5vZDtJ59+swOAycOn7pqzSA==">AMUW2mUpaOyBgLYN/ozKfC+KttBUVMr5ba3B7QXoDrI5bXJT36e67ENIeUM2kmRblf7VBHpkxD5IEqC5bL8KkGRRPSJgqi8DC2OJkgafIS6RDjNCD5C2iKQ=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LibreOffice/7.2.2.2$Linux_X86_64 LibreOffice_project/02b2acce88a210515b4a5bb2e46cbfb63fe97d56</Application>
  <AppVersion>15.0000</AppVersion>
  <Pages>2</Pages>
  <Words>841</Words>
  <Characters>4804</Characters>
  <CharactersWithSpaces>5602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2018-04-12T15:44:00Z</dcterms:created>
  <dc:creator>mlcosta</dc:creator>
  <dc:description/>
  <dc:language>es-AR</dc:language>
  <cp:lastModifiedBy/>
  <dcterms:modified xsi:type="dcterms:W3CDTF">2023-04-24T16:38:04Z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