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BE" w:rsidRDefault="00047CBE" w:rsidP="00047CBE">
      <w:r>
        <w:rPr>
          <w:noProof/>
          <w:lang w:val="es-ES_tradnl" w:eastAsia="es-ES_tradnl"/>
        </w:rPr>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1731010" cy="1515110"/>
            <wp:effectExtent l="19050" t="0" r="2540" b="0"/>
            <wp:wrapNone/>
            <wp:docPr id="2" name="Imagen 2" descr="http://1.bp.blogspot.com/-JCFSdlwV4RQ/U3f-MzlOU8I/AAAAAAAAAB4/iwwFRFdKjj8/s1600/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JCFSdlwV4RQ/U3f-MzlOU8I/AAAAAAAAAB4/iwwFRFdKjj8/s1600/LOGO+2.jpg"/>
                    <pic:cNvPicPr>
                      <a:picLocks noChangeAspect="1" noChangeArrowheads="1"/>
                    </pic:cNvPicPr>
                  </pic:nvPicPr>
                  <pic:blipFill>
                    <a:blip r:embed="rId5" r:link="rId6" cstate="print"/>
                    <a:srcRect/>
                    <a:stretch>
                      <a:fillRect/>
                    </a:stretch>
                  </pic:blipFill>
                  <pic:spPr bwMode="auto">
                    <a:xfrm>
                      <a:off x="0" y="0"/>
                      <a:ext cx="1731010" cy="1515110"/>
                    </a:xfrm>
                    <a:prstGeom prst="rect">
                      <a:avLst/>
                    </a:prstGeom>
                    <a:noFill/>
                  </pic:spPr>
                </pic:pic>
              </a:graphicData>
            </a:graphic>
          </wp:anchor>
        </w:drawing>
      </w:r>
    </w:p>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047CBE" w:rsidRPr="00353914" w:rsidRDefault="00047CBE" w:rsidP="00047CBE">
      <w:pPr>
        <w:jc w:val="center"/>
        <w:rPr>
          <w:b/>
          <w:color w:val="548DD4" w:themeColor="text2" w:themeTint="99"/>
          <w:sz w:val="40"/>
          <w:szCs w:val="40"/>
        </w:rPr>
      </w:pPr>
      <w:r w:rsidRPr="00353914">
        <w:rPr>
          <w:b/>
          <w:color w:val="548DD4" w:themeColor="text2" w:themeTint="99"/>
          <w:sz w:val="40"/>
          <w:szCs w:val="40"/>
        </w:rPr>
        <w:t>Primer Simposio de Estudios Lingüísticos</w:t>
      </w:r>
    </w:p>
    <w:p w:rsidR="00047CBE" w:rsidRPr="00353914" w:rsidRDefault="00047CBE" w:rsidP="00047CBE">
      <w:pPr>
        <w:jc w:val="center"/>
        <w:rPr>
          <w:b/>
          <w:color w:val="548DD4" w:themeColor="text2" w:themeTint="99"/>
          <w:sz w:val="40"/>
          <w:szCs w:val="40"/>
        </w:rPr>
      </w:pPr>
    </w:p>
    <w:p w:rsidR="00047CBE" w:rsidRDefault="00047CBE" w:rsidP="00047CBE">
      <w:pPr>
        <w:jc w:val="center"/>
        <w:rPr>
          <w:b/>
          <w:sz w:val="32"/>
          <w:szCs w:val="32"/>
        </w:rPr>
      </w:pPr>
      <w:r>
        <w:rPr>
          <w:b/>
          <w:sz w:val="32"/>
          <w:szCs w:val="32"/>
        </w:rPr>
        <w:t>San Miguel, 18 y 19 de septiembre de 2015</w:t>
      </w:r>
    </w:p>
    <w:p w:rsidR="00047CBE" w:rsidRDefault="00047CBE" w:rsidP="00047CBE">
      <w:pPr>
        <w:jc w:val="center"/>
        <w:rPr>
          <w:b/>
          <w:sz w:val="32"/>
          <w:szCs w:val="32"/>
        </w:rPr>
      </w:pPr>
    </w:p>
    <w:p w:rsidR="00047CBE" w:rsidRDefault="00047CBE" w:rsidP="00047CBE">
      <w:pPr>
        <w:jc w:val="center"/>
        <w:rPr>
          <w:b/>
          <w:sz w:val="32"/>
          <w:szCs w:val="32"/>
        </w:rPr>
      </w:pPr>
      <w:r>
        <w:rPr>
          <w:b/>
          <w:sz w:val="32"/>
          <w:szCs w:val="32"/>
        </w:rPr>
        <w:t>Segunda Circular</w:t>
      </w:r>
    </w:p>
    <w:p w:rsidR="00047CBE" w:rsidRDefault="00047CBE" w:rsidP="00047CBE"/>
    <w:p w:rsidR="00047CBE" w:rsidRDefault="00047CBE" w:rsidP="00047CBE">
      <w:pPr>
        <w:jc w:val="both"/>
      </w:pPr>
      <w:smartTag w:uri="urn:schemas-microsoft-com:office:smarttags" w:element="PersonName">
        <w:smartTagPr>
          <w:attr w:name="ProductID" w:val="La Asociaci￳n"/>
        </w:smartTagPr>
        <w:r>
          <w:t xml:space="preserve">La </w:t>
        </w:r>
        <w:r>
          <w:rPr>
            <w:i/>
          </w:rPr>
          <w:t>Asociación</w:t>
        </w:r>
      </w:smartTag>
      <w:r>
        <w:rPr>
          <w:i/>
        </w:rPr>
        <w:t xml:space="preserve"> de Estudios Humanísticos</w:t>
      </w:r>
      <w:r>
        <w:t xml:space="preserve"> junto con el </w:t>
      </w:r>
      <w:r>
        <w:rPr>
          <w:i/>
        </w:rPr>
        <w:t>Centro Loyola</w:t>
      </w:r>
      <w:r>
        <w:t xml:space="preserve"> de la Facultad de Filosofía y Teología de </w:t>
      </w:r>
      <w:smartTag w:uri="urn:schemas-microsoft-com:office:smarttags" w:element="PersonName">
        <w:smartTagPr>
          <w:attr w:name="ProductID" w:val="la Universidad"/>
        </w:smartTagPr>
        <w:r>
          <w:t>la Universidad</w:t>
        </w:r>
      </w:smartTag>
      <w:r>
        <w:t xml:space="preserve"> del Salvador invitan y convocan a toda la comunidad académica, educativa, filosófica y humanística a participar del Primer Simposio de Estudios Lingüísticos, a desarrollarse en el Colegio Máximo de San José, en la localidad de San Miguel, provincia de Buenos Aires.</w:t>
      </w:r>
    </w:p>
    <w:p w:rsidR="00047CBE" w:rsidRDefault="00047CBE" w:rsidP="00047CBE">
      <w:pPr>
        <w:jc w:val="both"/>
      </w:pPr>
    </w:p>
    <w:p w:rsidR="00047CBE" w:rsidRDefault="00047CBE" w:rsidP="00047CBE">
      <w:pPr>
        <w:jc w:val="both"/>
      </w:pPr>
    </w:p>
    <w:p w:rsidR="00047CBE" w:rsidRDefault="00047CBE" w:rsidP="00047CBE">
      <w:pPr>
        <w:jc w:val="both"/>
      </w:pPr>
      <w:r>
        <w:rPr>
          <w:b/>
        </w:rPr>
        <w:t>Comisión organizadora</w:t>
      </w:r>
      <w:r>
        <w:t>:</w:t>
      </w:r>
    </w:p>
    <w:p w:rsidR="00047CBE" w:rsidRDefault="00047CBE" w:rsidP="00047CBE">
      <w:pPr>
        <w:jc w:val="both"/>
      </w:pPr>
    </w:p>
    <w:p w:rsidR="00047CBE" w:rsidRDefault="00047CBE" w:rsidP="00047CBE">
      <w:pPr>
        <w:jc w:val="both"/>
      </w:pPr>
      <w:r>
        <w:rPr>
          <w:b/>
        </w:rPr>
        <w:t>Coordinación General:</w:t>
      </w:r>
      <w:r>
        <w:t xml:space="preserve"> Sebastián Porrini, Ariel </w:t>
      </w:r>
      <w:proofErr w:type="spellStart"/>
      <w:r>
        <w:t>Guasardi</w:t>
      </w:r>
      <w:proofErr w:type="spellEnd"/>
      <w:r>
        <w:t xml:space="preserve"> y Diego Ortega </w:t>
      </w:r>
      <w:proofErr w:type="spellStart"/>
      <w:r>
        <w:t>Servian</w:t>
      </w:r>
      <w:proofErr w:type="spellEnd"/>
      <w:r>
        <w:t>.</w:t>
      </w:r>
    </w:p>
    <w:p w:rsidR="00047CBE" w:rsidRDefault="00047CBE" w:rsidP="00047CBE">
      <w:pPr>
        <w:jc w:val="both"/>
      </w:pPr>
    </w:p>
    <w:p w:rsidR="00047CBE" w:rsidRDefault="00047CBE" w:rsidP="00047CBE">
      <w:pPr>
        <w:jc w:val="both"/>
      </w:pPr>
      <w:r>
        <w:rPr>
          <w:b/>
        </w:rPr>
        <w:t>Miembros de comisiones:</w:t>
      </w:r>
      <w:r>
        <w:t xml:space="preserve"> María Cecilia Viola, Nicolás </w:t>
      </w:r>
      <w:proofErr w:type="spellStart"/>
      <w:r>
        <w:t>Rosano</w:t>
      </w:r>
      <w:proofErr w:type="spellEnd"/>
      <w:r>
        <w:t xml:space="preserve">, Marcelo Berón, Daniela </w:t>
      </w:r>
      <w:proofErr w:type="spellStart"/>
      <w:r>
        <w:t>Tosto</w:t>
      </w:r>
      <w:proofErr w:type="spellEnd"/>
      <w:r>
        <w:t>, María Carolina Arias.</w:t>
      </w:r>
    </w:p>
    <w:p w:rsidR="00047CBE" w:rsidRDefault="00047CBE" w:rsidP="00047CBE">
      <w:pPr>
        <w:jc w:val="both"/>
      </w:pPr>
    </w:p>
    <w:p w:rsidR="00353914" w:rsidRDefault="00353914" w:rsidP="00047CBE">
      <w:pPr>
        <w:jc w:val="both"/>
        <w:rPr>
          <w:b/>
        </w:rPr>
      </w:pPr>
    </w:p>
    <w:p w:rsidR="00047CBE" w:rsidRDefault="00047CBE" w:rsidP="00047CBE">
      <w:pPr>
        <w:jc w:val="both"/>
        <w:rPr>
          <w:b/>
        </w:rPr>
      </w:pPr>
      <w:r>
        <w:rPr>
          <w:b/>
        </w:rPr>
        <w:t>Presentación:</w:t>
      </w:r>
    </w:p>
    <w:p w:rsidR="00047CBE" w:rsidRDefault="00047CBE" w:rsidP="00047CBE">
      <w:pPr>
        <w:jc w:val="both"/>
      </w:pPr>
    </w:p>
    <w:p w:rsidR="00047CBE" w:rsidRDefault="00047CBE" w:rsidP="00047CBE">
      <w:pPr>
        <w:jc w:val="both"/>
      </w:pPr>
      <w:r>
        <w:t xml:space="preserve">Los estudios lingüísticos que comenzaron su desarrollo en los primeros años del siglo XX han sido objeto de investigación continua. El escenario actual de esta disciplina exige una actualización permanente dado que el lenguaje es dinámico y no puede reducirse a verdades cristalizadas. Por este motivo, consideramos de suma importancia el aporte que las distintas  perspectivas teóricas y prácticas puedan otorgar para su enriquecimiento. El </w:t>
      </w:r>
      <w:r w:rsidRPr="00047CBE">
        <w:rPr>
          <w:b/>
        </w:rPr>
        <w:t>Primer Simposio de Estudios Lingüísticos</w:t>
      </w:r>
      <w:r>
        <w:t xml:space="preserve"> será un espacio propicio para la discusión, debate  e intercambio de ideas sobre las diversas manifestaciones del lenguaje que hacen a nuestra disciplina. Destinado a todos los miembros de la comunidad académica, este encuentro busca abrir nuevas vías de conocimiento en el complejo ámbito de las ciencias del lenguaje.</w:t>
      </w:r>
    </w:p>
    <w:p w:rsidR="00047CBE" w:rsidRDefault="00047CBE" w:rsidP="00047CBE">
      <w:pPr>
        <w:jc w:val="both"/>
      </w:pPr>
      <w:r>
        <w:t xml:space="preserve"> </w:t>
      </w:r>
    </w:p>
    <w:p w:rsidR="00353914" w:rsidRDefault="00353914" w:rsidP="00047CBE">
      <w:pPr>
        <w:jc w:val="both"/>
        <w:rPr>
          <w:b/>
        </w:rPr>
      </w:pPr>
    </w:p>
    <w:p w:rsidR="00353914" w:rsidRDefault="00353914" w:rsidP="00047CBE">
      <w:pPr>
        <w:jc w:val="both"/>
        <w:rPr>
          <w:b/>
        </w:rPr>
      </w:pPr>
    </w:p>
    <w:p w:rsidR="00353914" w:rsidRDefault="00353914" w:rsidP="00047CBE">
      <w:pPr>
        <w:jc w:val="both"/>
        <w:rPr>
          <w:b/>
        </w:rPr>
      </w:pPr>
    </w:p>
    <w:p w:rsidR="00047CBE" w:rsidRDefault="00047CBE" w:rsidP="00047CBE">
      <w:pPr>
        <w:jc w:val="both"/>
        <w:rPr>
          <w:b/>
        </w:rPr>
      </w:pPr>
      <w:r>
        <w:rPr>
          <w:b/>
        </w:rPr>
        <w:lastRenderedPageBreak/>
        <w:t>Objetivos:</w:t>
      </w:r>
    </w:p>
    <w:p w:rsidR="00047CBE" w:rsidRDefault="00047CBE" w:rsidP="00047CBE">
      <w:pPr>
        <w:jc w:val="both"/>
      </w:pPr>
    </w:p>
    <w:p w:rsidR="00047CBE" w:rsidRDefault="00047CBE" w:rsidP="00047CBE">
      <w:pPr>
        <w:numPr>
          <w:ilvl w:val="0"/>
          <w:numId w:val="1"/>
        </w:numPr>
        <w:jc w:val="both"/>
      </w:pPr>
      <w:r>
        <w:t>Intercambiar y estimular el debate sobre las problemáticas lingüísticas desde diferentes abordajes y perspectivas.</w:t>
      </w:r>
    </w:p>
    <w:p w:rsidR="00047CBE" w:rsidRDefault="00047CBE" w:rsidP="00047CBE">
      <w:pPr>
        <w:numPr>
          <w:ilvl w:val="0"/>
          <w:numId w:val="1"/>
        </w:numPr>
        <w:jc w:val="both"/>
      </w:pPr>
      <w:r>
        <w:t>Favorecer la divulgación del estado actual de las investigaciones en las distintas áreas de las ciencias del lenguaje en los diferentes ejes temáticos del Simposio.</w:t>
      </w:r>
    </w:p>
    <w:p w:rsidR="00047CBE" w:rsidRDefault="00047CBE" w:rsidP="00047CBE">
      <w:pPr>
        <w:numPr>
          <w:ilvl w:val="0"/>
          <w:numId w:val="1"/>
        </w:numPr>
        <w:jc w:val="both"/>
      </w:pPr>
      <w:r>
        <w:t>Compartir experiencias entre los investigadores y docentes de los diversos ámbitos de estudio del sistema educativo en un marco de diálogo y participación.</w:t>
      </w:r>
    </w:p>
    <w:p w:rsidR="00047CBE" w:rsidRDefault="00047CBE" w:rsidP="00047CBE">
      <w:pPr>
        <w:numPr>
          <w:ilvl w:val="0"/>
          <w:numId w:val="1"/>
        </w:numPr>
        <w:jc w:val="both"/>
      </w:pPr>
      <w:r>
        <w:t>Aportar a través de las producciones científicas y pedagógicas nuevas perspectivas para el abordaje del objeto de estudio en sus variadas manifestaciones.</w:t>
      </w:r>
    </w:p>
    <w:p w:rsidR="00047CBE" w:rsidRDefault="00047CBE" w:rsidP="00047CBE">
      <w:pPr>
        <w:numPr>
          <w:ilvl w:val="0"/>
          <w:numId w:val="1"/>
        </w:numPr>
        <w:jc w:val="both"/>
      </w:pPr>
      <w:r>
        <w:t>Difundir los avances nucleares en las disciplinas que conforman el campo del lenguaje.</w:t>
      </w:r>
    </w:p>
    <w:p w:rsidR="00047CBE" w:rsidRDefault="00047CBE" w:rsidP="00047CBE">
      <w:pPr>
        <w:numPr>
          <w:ilvl w:val="0"/>
          <w:numId w:val="1"/>
        </w:numPr>
        <w:jc w:val="both"/>
      </w:pPr>
      <w:r>
        <w:t>Promover los estudios de la lengua</w:t>
      </w:r>
      <w:r>
        <w:tab/>
        <w:t>y su relación con el ámbito educativo.</w:t>
      </w:r>
    </w:p>
    <w:p w:rsidR="00047CBE" w:rsidRDefault="00047CBE" w:rsidP="00047CBE">
      <w:pPr>
        <w:numPr>
          <w:ilvl w:val="0"/>
          <w:numId w:val="1"/>
        </w:numPr>
        <w:jc w:val="both"/>
      </w:pPr>
      <w:r>
        <w:t>Impulsar los</w:t>
      </w:r>
      <w:r>
        <w:tab/>
        <w:t>estudios dedicados al mejoramiento</w:t>
      </w:r>
      <w:r>
        <w:tab/>
        <w:t>de la educación lingüística en  los diferentes niveles de la enseñanza.</w:t>
      </w:r>
    </w:p>
    <w:p w:rsidR="00047CBE" w:rsidRDefault="00047CBE" w:rsidP="00047CBE"/>
    <w:p w:rsidR="00047CBE" w:rsidRDefault="00047CBE" w:rsidP="00047CBE"/>
    <w:p w:rsidR="00047CBE" w:rsidRDefault="00047CBE" w:rsidP="00047CBE">
      <w:pPr>
        <w:rPr>
          <w:b/>
        </w:rPr>
      </w:pPr>
      <w:r>
        <w:rPr>
          <w:b/>
        </w:rPr>
        <w:t xml:space="preserve">Áreas temáticas: </w:t>
      </w:r>
    </w:p>
    <w:p w:rsidR="00047CBE" w:rsidRDefault="00047CBE" w:rsidP="00047CBE">
      <w:pPr>
        <w:rPr>
          <w:b/>
        </w:rPr>
      </w:pPr>
    </w:p>
    <w:p w:rsidR="00047CBE" w:rsidRDefault="00047CBE" w:rsidP="00047CBE">
      <w:pPr>
        <w:numPr>
          <w:ilvl w:val="0"/>
          <w:numId w:val="2"/>
        </w:numPr>
      </w:pPr>
      <w:r>
        <w:t>Análisis del discurso.</w:t>
      </w:r>
    </w:p>
    <w:p w:rsidR="00047CBE" w:rsidRDefault="00047CBE" w:rsidP="00047CBE">
      <w:pPr>
        <w:numPr>
          <w:ilvl w:val="0"/>
          <w:numId w:val="2"/>
        </w:numPr>
      </w:pPr>
      <w:r>
        <w:t xml:space="preserve">Neurociencia y adquisición del lenguaje. </w:t>
      </w:r>
    </w:p>
    <w:p w:rsidR="00047CBE" w:rsidRDefault="00047CBE" w:rsidP="00047CBE">
      <w:pPr>
        <w:numPr>
          <w:ilvl w:val="0"/>
          <w:numId w:val="2"/>
        </w:numPr>
      </w:pPr>
      <w:r>
        <w:t>Gramática y sintaxis.</w:t>
      </w:r>
    </w:p>
    <w:p w:rsidR="00047CBE" w:rsidRDefault="00047CBE" w:rsidP="00047CBE">
      <w:pPr>
        <w:numPr>
          <w:ilvl w:val="0"/>
          <w:numId w:val="2"/>
        </w:numPr>
      </w:pPr>
      <w:r>
        <w:t xml:space="preserve">Lexicografía. </w:t>
      </w:r>
    </w:p>
    <w:p w:rsidR="00047CBE" w:rsidRDefault="00047CBE" w:rsidP="00047CBE">
      <w:pPr>
        <w:numPr>
          <w:ilvl w:val="0"/>
          <w:numId w:val="2"/>
        </w:numPr>
      </w:pPr>
      <w:r>
        <w:t>Filosofía del lenguaje</w:t>
      </w:r>
    </w:p>
    <w:p w:rsidR="00047CBE" w:rsidRDefault="00047CBE" w:rsidP="00047CBE">
      <w:pPr>
        <w:numPr>
          <w:ilvl w:val="0"/>
          <w:numId w:val="2"/>
        </w:numPr>
      </w:pPr>
      <w:r>
        <w:t>Didáctica de las ciencias del lenguaje.</w:t>
      </w:r>
    </w:p>
    <w:p w:rsidR="00047CBE" w:rsidRDefault="00047CBE" w:rsidP="00047CBE"/>
    <w:p w:rsidR="00353914" w:rsidRDefault="00353914" w:rsidP="007B6424">
      <w:pPr>
        <w:jc w:val="both"/>
        <w:rPr>
          <w:color w:val="365F91" w:themeColor="accent1" w:themeShade="BF"/>
        </w:rPr>
      </w:pPr>
    </w:p>
    <w:p w:rsidR="007B6424" w:rsidRPr="00353914" w:rsidRDefault="00353914" w:rsidP="007B6424">
      <w:pPr>
        <w:jc w:val="both"/>
        <w:rPr>
          <w:color w:val="365F91" w:themeColor="accent1" w:themeShade="BF"/>
        </w:rPr>
      </w:pP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mso-wrap-style:none" strokeweight="6pt">
            <v:stroke linestyle="thickBetweenThin"/>
            <v:textbox style="mso-next-textbox:#_x0000_s1028;mso-fit-shape-to-text:t">
              <w:txbxContent>
                <w:p w:rsidR="00353914" w:rsidRDefault="00353914" w:rsidP="00353914">
                  <w:pPr>
                    <w:rPr>
                      <w:b/>
                    </w:rPr>
                  </w:pPr>
                  <w:r>
                    <w:rPr>
                      <w:b/>
                    </w:rPr>
                    <w:t>Cronograma de actividades</w:t>
                  </w:r>
                </w:p>
                <w:p w:rsidR="00353914" w:rsidRDefault="00353914" w:rsidP="00353914"/>
                <w:p w:rsidR="00353914" w:rsidRPr="00353914" w:rsidRDefault="00353914" w:rsidP="00353914">
                  <w:pPr>
                    <w:rPr>
                      <w:color w:val="365F91" w:themeColor="accent1" w:themeShade="BF"/>
                    </w:rPr>
                  </w:pPr>
                  <w:r w:rsidRPr="00353914">
                    <w:rPr>
                      <w:color w:val="365F91" w:themeColor="accent1" w:themeShade="BF"/>
                    </w:rPr>
                    <w:t xml:space="preserve">Viernes 18 de septiembre: </w:t>
                  </w:r>
                </w:p>
                <w:p w:rsidR="00353914" w:rsidRPr="00353914" w:rsidRDefault="00353914" w:rsidP="00353914">
                  <w:pPr>
                    <w:pStyle w:val="Prrafodelista"/>
                    <w:numPr>
                      <w:ilvl w:val="0"/>
                      <w:numId w:val="4"/>
                    </w:numPr>
                    <w:rPr>
                      <w:color w:val="365F91" w:themeColor="accent1" w:themeShade="BF"/>
                    </w:rPr>
                  </w:pPr>
                  <w:r w:rsidRPr="00353914">
                    <w:rPr>
                      <w:color w:val="365F91" w:themeColor="accent1" w:themeShade="BF"/>
                    </w:rPr>
                    <w:t>9 hs. Acreditación.</w:t>
                  </w:r>
                </w:p>
                <w:p w:rsidR="00353914" w:rsidRPr="00353914" w:rsidRDefault="00353914" w:rsidP="00353914">
                  <w:pPr>
                    <w:pStyle w:val="Prrafodelista"/>
                    <w:numPr>
                      <w:ilvl w:val="0"/>
                      <w:numId w:val="4"/>
                    </w:numPr>
                    <w:rPr>
                      <w:color w:val="365F91" w:themeColor="accent1" w:themeShade="BF"/>
                    </w:rPr>
                  </w:pPr>
                  <w:r w:rsidRPr="00353914">
                    <w:rPr>
                      <w:color w:val="365F91" w:themeColor="accent1" w:themeShade="BF"/>
                    </w:rPr>
                    <w:t xml:space="preserve">9.30 hs. Ceremonia de Apertura a cargo de la Comisión Organizadora. </w:t>
                  </w:r>
                </w:p>
                <w:p w:rsidR="00353914" w:rsidRPr="00353914" w:rsidRDefault="00353914" w:rsidP="00353914">
                  <w:pPr>
                    <w:pStyle w:val="Prrafodelista"/>
                    <w:numPr>
                      <w:ilvl w:val="0"/>
                      <w:numId w:val="4"/>
                    </w:numPr>
                    <w:jc w:val="both"/>
                    <w:rPr>
                      <w:color w:val="365F91" w:themeColor="accent1" w:themeShade="BF"/>
                    </w:rPr>
                  </w:pPr>
                  <w:r w:rsidRPr="00353914">
                    <w:rPr>
                      <w:color w:val="365F91" w:themeColor="accent1" w:themeShade="BF"/>
                    </w:rPr>
                    <w:t xml:space="preserve">10 hs. Exposición inaugural a cargo de la Dra. Hilda Albano de la Universidad del Salvador. </w:t>
                  </w:r>
                </w:p>
                <w:p w:rsidR="00353914" w:rsidRPr="00353914" w:rsidRDefault="00353914" w:rsidP="00353914">
                  <w:pPr>
                    <w:pStyle w:val="Prrafodelista"/>
                    <w:numPr>
                      <w:ilvl w:val="0"/>
                      <w:numId w:val="4"/>
                    </w:numPr>
                    <w:jc w:val="both"/>
                    <w:rPr>
                      <w:color w:val="365F91" w:themeColor="accent1" w:themeShade="BF"/>
                    </w:rPr>
                  </w:pPr>
                  <w:r w:rsidRPr="00353914">
                    <w:rPr>
                      <w:color w:val="365F91" w:themeColor="accent1" w:themeShade="BF"/>
                    </w:rPr>
                    <w:t>12 hs. Almuerzo.</w:t>
                  </w:r>
                </w:p>
                <w:p w:rsidR="00353914" w:rsidRPr="00353914" w:rsidRDefault="00353914" w:rsidP="00353914">
                  <w:pPr>
                    <w:pStyle w:val="Prrafodelista"/>
                    <w:numPr>
                      <w:ilvl w:val="0"/>
                      <w:numId w:val="4"/>
                    </w:numPr>
                    <w:jc w:val="both"/>
                    <w:rPr>
                      <w:color w:val="365F91" w:themeColor="accent1" w:themeShade="BF"/>
                    </w:rPr>
                  </w:pPr>
                  <w:r w:rsidRPr="00353914">
                    <w:rPr>
                      <w:color w:val="365F91" w:themeColor="accent1" w:themeShade="BF"/>
                    </w:rPr>
                    <w:t>13 hs. Primera ronda de mesas de exposición.</w:t>
                  </w:r>
                </w:p>
                <w:p w:rsidR="00353914" w:rsidRPr="00353914" w:rsidRDefault="00353914" w:rsidP="00353914">
                  <w:pPr>
                    <w:pStyle w:val="Prrafodelista"/>
                    <w:numPr>
                      <w:ilvl w:val="0"/>
                      <w:numId w:val="4"/>
                    </w:numPr>
                    <w:jc w:val="both"/>
                    <w:rPr>
                      <w:color w:val="365F91" w:themeColor="accent1" w:themeShade="BF"/>
                    </w:rPr>
                  </w:pPr>
                  <w:r w:rsidRPr="00353914">
                    <w:rPr>
                      <w:color w:val="365F91" w:themeColor="accent1" w:themeShade="BF"/>
                    </w:rPr>
                    <w:t xml:space="preserve">14.30 hs. Café. </w:t>
                  </w:r>
                </w:p>
                <w:p w:rsidR="00353914" w:rsidRPr="00353914" w:rsidRDefault="00353914" w:rsidP="00353914">
                  <w:pPr>
                    <w:pStyle w:val="Prrafodelista"/>
                    <w:numPr>
                      <w:ilvl w:val="0"/>
                      <w:numId w:val="4"/>
                    </w:numPr>
                    <w:jc w:val="both"/>
                    <w:rPr>
                      <w:color w:val="365F91" w:themeColor="accent1" w:themeShade="BF"/>
                    </w:rPr>
                  </w:pPr>
                  <w:r w:rsidRPr="00353914">
                    <w:rPr>
                      <w:color w:val="365F91" w:themeColor="accent1" w:themeShade="BF"/>
                    </w:rPr>
                    <w:t>15 hs. Segunda ronda de mesas de exposición.</w:t>
                  </w:r>
                </w:p>
                <w:p w:rsidR="00353914" w:rsidRPr="00353914" w:rsidRDefault="00353914" w:rsidP="00353914">
                  <w:pPr>
                    <w:jc w:val="both"/>
                    <w:rPr>
                      <w:color w:val="365F91" w:themeColor="accent1" w:themeShade="BF"/>
                    </w:rPr>
                  </w:pPr>
                </w:p>
                <w:p w:rsidR="00353914" w:rsidRPr="00353914" w:rsidRDefault="00353914" w:rsidP="00353914">
                  <w:pPr>
                    <w:jc w:val="both"/>
                    <w:rPr>
                      <w:color w:val="365F91" w:themeColor="accent1" w:themeShade="BF"/>
                    </w:rPr>
                  </w:pPr>
                  <w:r w:rsidRPr="00353914">
                    <w:rPr>
                      <w:color w:val="365F91" w:themeColor="accent1" w:themeShade="BF"/>
                    </w:rPr>
                    <w:t>Sábado 19 de septiembre:</w:t>
                  </w:r>
                </w:p>
                <w:p w:rsidR="00353914" w:rsidRPr="00353914" w:rsidRDefault="00353914" w:rsidP="00353914">
                  <w:pPr>
                    <w:pStyle w:val="Prrafodelista"/>
                    <w:numPr>
                      <w:ilvl w:val="0"/>
                      <w:numId w:val="5"/>
                    </w:numPr>
                    <w:jc w:val="both"/>
                    <w:rPr>
                      <w:color w:val="365F91" w:themeColor="accent1" w:themeShade="BF"/>
                    </w:rPr>
                  </w:pPr>
                  <w:r w:rsidRPr="00353914">
                    <w:rPr>
                      <w:color w:val="365F91" w:themeColor="accent1" w:themeShade="BF"/>
                    </w:rPr>
                    <w:t xml:space="preserve">9 hs. Tercera ronda de mesas de exposición. </w:t>
                  </w:r>
                </w:p>
                <w:p w:rsidR="00353914" w:rsidRPr="00353914" w:rsidRDefault="00353914" w:rsidP="00353914">
                  <w:pPr>
                    <w:pStyle w:val="Prrafodelista"/>
                    <w:numPr>
                      <w:ilvl w:val="0"/>
                      <w:numId w:val="5"/>
                    </w:numPr>
                    <w:jc w:val="both"/>
                    <w:rPr>
                      <w:color w:val="365F91" w:themeColor="accent1" w:themeShade="BF"/>
                    </w:rPr>
                  </w:pPr>
                  <w:r w:rsidRPr="00353914">
                    <w:rPr>
                      <w:color w:val="365F91" w:themeColor="accent1" w:themeShade="BF"/>
                    </w:rPr>
                    <w:t>10.30 hs. Café.</w:t>
                  </w:r>
                </w:p>
                <w:p w:rsidR="00353914" w:rsidRPr="00353914" w:rsidRDefault="00353914" w:rsidP="00353914">
                  <w:pPr>
                    <w:pStyle w:val="Prrafodelista"/>
                    <w:numPr>
                      <w:ilvl w:val="0"/>
                      <w:numId w:val="5"/>
                    </w:numPr>
                    <w:jc w:val="both"/>
                    <w:rPr>
                      <w:color w:val="365F91" w:themeColor="accent1" w:themeShade="BF"/>
                    </w:rPr>
                  </w:pPr>
                  <w:r w:rsidRPr="00353914">
                    <w:rPr>
                      <w:color w:val="365F91" w:themeColor="accent1" w:themeShade="BF"/>
                    </w:rPr>
                    <w:t xml:space="preserve">11 hs. Conferencia de cierre a cargo de la Dra. María Marta García Negroni. </w:t>
                  </w:r>
                </w:p>
                <w:p w:rsidR="00353914" w:rsidRPr="00353914" w:rsidRDefault="00353914" w:rsidP="00353914">
                  <w:pPr>
                    <w:pStyle w:val="Prrafodelista"/>
                    <w:numPr>
                      <w:ilvl w:val="0"/>
                      <w:numId w:val="5"/>
                    </w:numPr>
                    <w:jc w:val="both"/>
                    <w:rPr>
                      <w:color w:val="365F91" w:themeColor="accent1" w:themeShade="BF"/>
                    </w:rPr>
                  </w:pPr>
                  <w:r w:rsidRPr="00353914">
                    <w:rPr>
                      <w:color w:val="365F91" w:themeColor="accent1" w:themeShade="BF"/>
                    </w:rPr>
                    <w:t xml:space="preserve">13 hs. Entrega de los certificados. </w:t>
                  </w:r>
                </w:p>
                <w:p w:rsidR="00353914" w:rsidRPr="00E16951" w:rsidRDefault="00353914" w:rsidP="00E16951">
                  <w:pPr>
                    <w:jc w:val="both"/>
                    <w:rPr>
                      <w:color w:val="365F91" w:themeColor="accent1" w:themeShade="BF"/>
                    </w:rPr>
                  </w:pPr>
                </w:p>
              </w:txbxContent>
            </v:textbox>
            <w10:wrap type="square"/>
          </v:shape>
        </w:pict>
      </w:r>
    </w:p>
    <w:p w:rsidR="00353914" w:rsidRDefault="00353914" w:rsidP="007B6424">
      <w:pPr>
        <w:jc w:val="both"/>
        <w:rPr>
          <w:b/>
        </w:rPr>
      </w:pPr>
    </w:p>
    <w:p w:rsidR="007B6424" w:rsidRPr="007B6424" w:rsidRDefault="007B6424" w:rsidP="007B6424">
      <w:pPr>
        <w:jc w:val="both"/>
        <w:rPr>
          <w:b/>
        </w:rPr>
      </w:pPr>
      <w:r>
        <w:rPr>
          <w:b/>
        </w:rPr>
        <w:lastRenderedPageBreak/>
        <w:t>Aranceles</w:t>
      </w:r>
    </w:p>
    <w:p w:rsidR="007B6424" w:rsidRDefault="007B6424" w:rsidP="007B6424">
      <w:pPr>
        <w:jc w:val="both"/>
      </w:pPr>
    </w:p>
    <w:tbl>
      <w:tblPr>
        <w:tblStyle w:val="Tablaconcuadrcula"/>
        <w:tblW w:w="0" w:type="auto"/>
        <w:tblLook w:val="04A0"/>
      </w:tblPr>
      <w:tblGrid>
        <w:gridCol w:w="2881"/>
        <w:gridCol w:w="2881"/>
        <w:gridCol w:w="2882"/>
      </w:tblGrid>
      <w:tr w:rsidR="007B6424" w:rsidTr="007B6424">
        <w:tc>
          <w:tcPr>
            <w:tcW w:w="2881" w:type="dxa"/>
          </w:tcPr>
          <w:p w:rsidR="00CB030E" w:rsidRDefault="00CB030E" w:rsidP="007B6424">
            <w:pPr>
              <w:jc w:val="center"/>
              <w:rPr>
                <w:b/>
              </w:rPr>
            </w:pPr>
          </w:p>
          <w:p w:rsidR="007B6424" w:rsidRDefault="007B6424" w:rsidP="007B6424">
            <w:pPr>
              <w:jc w:val="center"/>
              <w:rPr>
                <w:b/>
              </w:rPr>
            </w:pPr>
            <w:r>
              <w:rPr>
                <w:b/>
              </w:rPr>
              <w:t>Categoría</w:t>
            </w:r>
          </w:p>
          <w:p w:rsidR="007B6424" w:rsidRPr="007B6424" w:rsidRDefault="007B6424" w:rsidP="007B6424">
            <w:pPr>
              <w:jc w:val="center"/>
              <w:rPr>
                <w:b/>
              </w:rPr>
            </w:pPr>
          </w:p>
        </w:tc>
        <w:tc>
          <w:tcPr>
            <w:tcW w:w="2881" w:type="dxa"/>
          </w:tcPr>
          <w:p w:rsidR="00CB030E" w:rsidRDefault="00CB030E" w:rsidP="007B6424">
            <w:pPr>
              <w:jc w:val="center"/>
              <w:rPr>
                <w:b/>
              </w:rPr>
            </w:pPr>
          </w:p>
          <w:p w:rsidR="007B6424" w:rsidRPr="007B6424" w:rsidRDefault="007B6424" w:rsidP="007B6424">
            <w:pPr>
              <w:jc w:val="center"/>
              <w:rPr>
                <w:b/>
              </w:rPr>
            </w:pPr>
            <w:r w:rsidRPr="007B6424">
              <w:rPr>
                <w:b/>
              </w:rPr>
              <w:t>Valores hasta el 30 de junio</w:t>
            </w:r>
          </w:p>
        </w:tc>
        <w:tc>
          <w:tcPr>
            <w:tcW w:w="2882" w:type="dxa"/>
          </w:tcPr>
          <w:p w:rsidR="00CB030E" w:rsidRDefault="00CB030E" w:rsidP="007B6424">
            <w:pPr>
              <w:jc w:val="both"/>
              <w:rPr>
                <w:b/>
              </w:rPr>
            </w:pPr>
          </w:p>
          <w:p w:rsidR="007B6424" w:rsidRPr="007B6424" w:rsidRDefault="007B6424" w:rsidP="007B6424">
            <w:pPr>
              <w:jc w:val="both"/>
              <w:rPr>
                <w:b/>
              </w:rPr>
            </w:pPr>
            <w:r>
              <w:rPr>
                <w:b/>
              </w:rPr>
              <w:t>Hasta el inicio del simposio</w:t>
            </w:r>
          </w:p>
        </w:tc>
      </w:tr>
      <w:tr w:rsidR="007B6424" w:rsidTr="007B6424">
        <w:tc>
          <w:tcPr>
            <w:tcW w:w="2881" w:type="dxa"/>
          </w:tcPr>
          <w:p w:rsidR="007B6424" w:rsidRDefault="007B6424" w:rsidP="007B6424">
            <w:pPr>
              <w:jc w:val="both"/>
            </w:pPr>
          </w:p>
          <w:p w:rsidR="007B6424" w:rsidRDefault="007B6424" w:rsidP="007B6424">
            <w:pPr>
              <w:jc w:val="both"/>
            </w:pPr>
            <w:r>
              <w:t>Estudiantes universitarios y/o de nivel terciario</w:t>
            </w:r>
          </w:p>
          <w:p w:rsidR="007B6424" w:rsidRDefault="007B6424" w:rsidP="007B6424">
            <w:pPr>
              <w:jc w:val="both"/>
            </w:pPr>
          </w:p>
        </w:tc>
        <w:tc>
          <w:tcPr>
            <w:tcW w:w="2881" w:type="dxa"/>
          </w:tcPr>
          <w:p w:rsidR="007B6424" w:rsidRDefault="007B6424" w:rsidP="007B6424">
            <w:pPr>
              <w:jc w:val="center"/>
            </w:pPr>
          </w:p>
          <w:p w:rsidR="007B6424" w:rsidRDefault="007B6424" w:rsidP="007B6424">
            <w:pPr>
              <w:jc w:val="center"/>
            </w:pPr>
            <w:r>
              <w:t>$200</w:t>
            </w:r>
          </w:p>
          <w:p w:rsidR="007B6424" w:rsidRDefault="007B6424" w:rsidP="007B6424">
            <w:pPr>
              <w:jc w:val="center"/>
            </w:pPr>
            <w:r>
              <w:t>(Doscientos)</w:t>
            </w:r>
          </w:p>
        </w:tc>
        <w:tc>
          <w:tcPr>
            <w:tcW w:w="2882" w:type="dxa"/>
          </w:tcPr>
          <w:p w:rsidR="007B6424" w:rsidRDefault="007B6424" w:rsidP="007B6424">
            <w:pPr>
              <w:jc w:val="center"/>
            </w:pPr>
          </w:p>
          <w:p w:rsidR="007B6424" w:rsidRDefault="007B6424" w:rsidP="007B6424">
            <w:pPr>
              <w:jc w:val="center"/>
            </w:pPr>
            <w:r>
              <w:t>$250</w:t>
            </w:r>
          </w:p>
          <w:p w:rsidR="007B6424" w:rsidRDefault="007B6424" w:rsidP="007B6424">
            <w:pPr>
              <w:jc w:val="center"/>
            </w:pPr>
            <w:r>
              <w:t>(Doscientos cincuenta)</w:t>
            </w:r>
          </w:p>
        </w:tc>
      </w:tr>
      <w:tr w:rsidR="007B6424" w:rsidTr="007B6424">
        <w:tc>
          <w:tcPr>
            <w:tcW w:w="2881" w:type="dxa"/>
          </w:tcPr>
          <w:p w:rsidR="007B6424" w:rsidRDefault="007B6424" w:rsidP="007B6424">
            <w:pPr>
              <w:jc w:val="both"/>
            </w:pPr>
          </w:p>
          <w:p w:rsidR="007B6424" w:rsidRDefault="007B6424" w:rsidP="007B6424">
            <w:pPr>
              <w:jc w:val="both"/>
            </w:pPr>
            <w:r>
              <w:t xml:space="preserve">Docentes y asistentes en general </w:t>
            </w:r>
          </w:p>
          <w:p w:rsidR="007B6424" w:rsidRDefault="007B6424" w:rsidP="007B6424">
            <w:pPr>
              <w:jc w:val="both"/>
            </w:pPr>
          </w:p>
        </w:tc>
        <w:tc>
          <w:tcPr>
            <w:tcW w:w="2881" w:type="dxa"/>
          </w:tcPr>
          <w:p w:rsidR="007B6424" w:rsidRDefault="007B6424" w:rsidP="007B6424">
            <w:pPr>
              <w:jc w:val="center"/>
            </w:pPr>
          </w:p>
          <w:p w:rsidR="007B6424" w:rsidRDefault="007B6424" w:rsidP="007B6424">
            <w:pPr>
              <w:jc w:val="center"/>
            </w:pPr>
            <w:r>
              <w:t>$300</w:t>
            </w:r>
          </w:p>
          <w:p w:rsidR="007B6424" w:rsidRDefault="007B6424" w:rsidP="007B6424">
            <w:pPr>
              <w:jc w:val="center"/>
            </w:pPr>
            <w:r>
              <w:t xml:space="preserve">(Trescientos) </w:t>
            </w:r>
          </w:p>
        </w:tc>
        <w:tc>
          <w:tcPr>
            <w:tcW w:w="2882" w:type="dxa"/>
          </w:tcPr>
          <w:p w:rsidR="007B6424" w:rsidRDefault="007B6424" w:rsidP="007B6424">
            <w:pPr>
              <w:jc w:val="center"/>
            </w:pPr>
          </w:p>
          <w:p w:rsidR="007B6424" w:rsidRDefault="007B6424" w:rsidP="007B6424">
            <w:pPr>
              <w:jc w:val="center"/>
            </w:pPr>
            <w:r>
              <w:t>$350</w:t>
            </w:r>
          </w:p>
          <w:p w:rsidR="007B6424" w:rsidRDefault="007B6424" w:rsidP="007B6424">
            <w:pPr>
              <w:jc w:val="center"/>
            </w:pPr>
            <w:r>
              <w:t>(Trescientos cincuenta)</w:t>
            </w:r>
          </w:p>
        </w:tc>
      </w:tr>
    </w:tbl>
    <w:p w:rsidR="007B6424" w:rsidRPr="00047CBE" w:rsidRDefault="007B6424" w:rsidP="007B6424">
      <w:pPr>
        <w:jc w:val="both"/>
      </w:pPr>
    </w:p>
    <w:p w:rsidR="00047CBE" w:rsidRPr="007B6424" w:rsidRDefault="00047CBE" w:rsidP="00047CBE"/>
    <w:p w:rsidR="00047CBE" w:rsidRDefault="00CB030E" w:rsidP="00047CBE">
      <w:pPr>
        <w:rPr>
          <w:b/>
        </w:rPr>
      </w:pPr>
      <w:r>
        <w:rPr>
          <w:b/>
        </w:rPr>
        <w:t xml:space="preserve">Hospedaje: </w:t>
      </w:r>
    </w:p>
    <w:p w:rsidR="00CB030E" w:rsidRDefault="00CB030E" w:rsidP="00047CBE"/>
    <w:p w:rsidR="00CB030E" w:rsidRDefault="00CB030E" w:rsidP="00CB030E">
      <w:pPr>
        <w:jc w:val="both"/>
      </w:pPr>
      <w:r>
        <w:t xml:space="preserve">El Centro Loyola cuenta con 60 habitaciones dobles con baño privado, 25 habitaciones dobles con baño compartido, y ofrece todos los servicios de hospedaje necesarios. En caso de reserva, contactarse vía mail con la comisión organizadora. </w:t>
      </w:r>
    </w:p>
    <w:p w:rsidR="00CB030E" w:rsidRPr="00CB030E" w:rsidRDefault="00CB030E" w:rsidP="00CB030E">
      <w:pPr>
        <w:jc w:val="both"/>
      </w:pPr>
    </w:p>
    <w:p w:rsidR="00047CBE" w:rsidRDefault="00047CBE" w:rsidP="00047CBE">
      <w:pPr>
        <w:rPr>
          <w:b/>
        </w:rPr>
      </w:pPr>
      <w:r>
        <w:rPr>
          <w:b/>
        </w:rPr>
        <w:t xml:space="preserve">Contacto: </w:t>
      </w:r>
    </w:p>
    <w:p w:rsidR="00047CBE" w:rsidRDefault="00047CBE" w:rsidP="00047CBE">
      <w:pPr>
        <w:rPr>
          <w:b/>
        </w:rPr>
      </w:pPr>
    </w:p>
    <w:p w:rsidR="00047CBE" w:rsidRDefault="00047CBE" w:rsidP="00047CBE">
      <w:r>
        <w:rPr>
          <w:b/>
        </w:rPr>
        <w:t>Dirección de contacto</w:t>
      </w:r>
      <w:r>
        <w:t xml:space="preserve">: </w:t>
      </w:r>
      <w:hyperlink r:id="rId7" w:history="1">
        <w:r>
          <w:rPr>
            <w:rStyle w:val="Hipervnculo"/>
          </w:rPr>
          <w:t>asociaciondeestudios1@gmail.com</w:t>
        </w:r>
      </w:hyperlink>
      <w:r>
        <w:t xml:space="preserve"> </w:t>
      </w:r>
    </w:p>
    <w:p w:rsidR="00047CBE" w:rsidRDefault="00047CBE" w:rsidP="00047CBE"/>
    <w:p w:rsidR="00047CBE" w:rsidRDefault="00047CBE" w:rsidP="00047CBE">
      <w:proofErr w:type="spellStart"/>
      <w:r>
        <w:rPr>
          <w:b/>
        </w:rPr>
        <w:t>Facebook</w:t>
      </w:r>
      <w:proofErr w:type="spellEnd"/>
      <w:r>
        <w:t xml:space="preserve">: asociación argentina de estudios humanísticos </w:t>
      </w:r>
    </w:p>
    <w:p w:rsidR="00047CBE" w:rsidRDefault="00047CBE" w:rsidP="00047CBE"/>
    <w:p w:rsidR="00047CBE" w:rsidRPr="00047CBE" w:rsidRDefault="00047CBE" w:rsidP="00047CBE">
      <w:pPr>
        <w:rPr>
          <w:lang w:val="en-US"/>
        </w:rPr>
      </w:pPr>
      <w:r w:rsidRPr="00047CBE">
        <w:rPr>
          <w:b/>
          <w:lang w:val="en-US"/>
        </w:rPr>
        <w:t>Blog:</w:t>
      </w:r>
      <w:r w:rsidRPr="00047CBE">
        <w:rPr>
          <w:lang w:val="en-US"/>
        </w:rPr>
        <w:t xml:space="preserve"> adehumanis.blogspot.com</w:t>
      </w:r>
    </w:p>
    <w:p w:rsidR="00047CBE" w:rsidRPr="00047CBE" w:rsidRDefault="00047CBE" w:rsidP="00047CBE">
      <w:pPr>
        <w:rPr>
          <w:lang w:val="en-US"/>
        </w:rPr>
      </w:pPr>
    </w:p>
    <w:p w:rsidR="00047CBE" w:rsidRPr="00047CBE" w:rsidRDefault="00047CBE" w:rsidP="00047CBE">
      <w:pPr>
        <w:rPr>
          <w:lang w:val="en-US"/>
        </w:rPr>
      </w:pPr>
      <w:r w:rsidRPr="00047CBE">
        <w:rPr>
          <w:b/>
          <w:lang w:val="en-US"/>
        </w:rPr>
        <w:t>Twitter:</w:t>
      </w:r>
      <w:r w:rsidRPr="00047CBE">
        <w:rPr>
          <w:lang w:val="en-US"/>
        </w:rPr>
        <w:t xml:space="preserve"> @</w:t>
      </w:r>
      <w:proofErr w:type="spellStart"/>
      <w:r w:rsidRPr="00047CBE">
        <w:rPr>
          <w:lang w:val="en-US"/>
        </w:rPr>
        <w:t>ADEHumanis</w:t>
      </w:r>
      <w:proofErr w:type="spellEnd"/>
      <w:r w:rsidRPr="00047CBE">
        <w:rPr>
          <w:lang w:val="en-US"/>
        </w:rPr>
        <w:t xml:space="preserve"> </w:t>
      </w:r>
    </w:p>
    <w:p w:rsidR="00047CBE" w:rsidRPr="00047CBE" w:rsidRDefault="00047CBE" w:rsidP="00047CBE">
      <w:pPr>
        <w:rPr>
          <w:lang w:val="en-US"/>
        </w:rPr>
      </w:pPr>
    </w:p>
    <w:p w:rsidR="00047CBE" w:rsidRDefault="00047CBE" w:rsidP="00CB030E">
      <w:pPr>
        <w:jc w:val="both"/>
      </w:pPr>
      <w:r>
        <w:t xml:space="preserve">A partir de la </w:t>
      </w:r>
      <w:r w:rsidR="00CB030E">
        <w:t>tercer</w:t>
      </w:r>
      <w:r>
        <w:t xml:space="preserve">a circular, se </w:t>
      </w:r>
      <w:r w:rsidR="00CB030E">
        <w:t xml:space="preserve">detallará el contenido total de las mesas de exposición y de las conferencias del simposio. </w:t>
      </w:r>
    </w:p>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047CBE" w:rsidRDefault="00047CBE" w:rsidP="00047CBE"/>
    <w:p w:rsidR="00B30407" w:rsidRDefault="00B30407"/>
    <w:sectPr w:rsidR="00B30407" w:rsidSect="00353914">
      <w:pgSz w:w="11906" w:h="16838"/>
      <w:pgMar w:top="1417" w:right="1416"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17C"/>
    <w:multiLevelType w:val="hybridMultilevel"/>
    <w:tmpl w:val="CCE632D4"/>
    <w:lvl w:ilvl="0" w:tplc="86781256">
      <w:numFmt w:val="bullet"/>
      <w:lvlText w:val="•"/>
      <w:lvlJc w:val="left"/>
      <w:pPr>
        <w:ind w:left="720" w:hanging="360"/>
      </w:pPr>
      <w:rPr>
        <w:rFonts w:ascii="Times New Roman" w:eastAsia="Times New Roman" w:hAnsi="Times New Roman"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nsid w:val="0AF5105D"/>
    <w:multiLevelType w:val="hybridMultilevel"/>
    <w:tmpl w:val="E88CE6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C7C77B8"/>
    <w:multiLevelType w:val="hybridMultilevel"/>
    <w:tmpl w:val="65E0D0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66005F5"/>
    <w:multiLevelType w:val="hybridMultilevel"/>
    <w:tmpl w:val="5E881BC6"/>
    <w:lvl w:ilvl="0" w:tplc="86781256">
      <w:numFmt w:val="bullet"/>
      <w:lvlText w:val="•"/>
      <w:lvlJc w:val="left"/>
      <w:pPr>
        <w:ind w:left="720" w:hanging="360"/>
      </w:pPr>
      <w:rPr>
        <w:rFonts w:ascii="Times New Roman" w:eastAsia="Times New Roman" w:hAnsi="Times New Roman" w:cs="Times New Roman"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7CBE"/>
    <w:rsid w:val="00047CBE"/>
    <w:rsid w:val="00353914"/>
    <w:rsid w:val="003A2CCD"/>
    <w:rsid w:val="00420113"/>
    <w:rsid w:val="005C49F1"/>
    <w:rsid w:val="007B6424"/>
    <w:rsid w:val="00B30407"/>
    <w:rsid w:val="00CB030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047CBE"/>
    <w:rPr>
      <w:color w:val="0000FF"/>
      <w:u w:val="single"/>
    </w:rPr>
  </w:style>
  <w:style w:type="paragraph" w:styleId="Prrafodelista">
    <w:name w:val="List Paragraph"/>
    <w:basedOn w:val="Normal"/>
    <w:uiPriority w:val="34"/>
    <w:qFormat/>
    <w:rsid w:val="00047CBE"/>
    <w:pPr>
      <w:ind w:left="720"/>
      <w:contextualSpacing/>
    </w:pPr>
  </w:style>
  <w:style w:type="table" w:styleId="Tablaconcuadrcula">
    <w:name w:val="Table Grid"/>
    <w:basedOn w:val="Tablanormal"/>
    <w:uiPriority w:val="59"/>
    <w:rsid w:val="007B6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53914"/>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914"/>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655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ociaciondeestudios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1.bp.blogspot.com/-JCFSdlwV4RQ/U3f-MzlOU8I/AAAAAAAAAB4/iwwFRFdKjj8/s1600/LOGO+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542</Words>
  <Characters>2984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Ceci-Seba-Santi-Fran</dc:creator>
  <cp:lastModifiedBy>Ceci-Seba-Santi-Fran</cp:lastModifiedBy>
  <cp:revision>1</cp:revision>
  <dcterms:created xsi:type="dcterms:W3CDTF">2015-03-15T21:06:00Z</dcterms:created>
  <dcterms:modified xsi:type="dcterms:W3CDTF">2015-03-15T21:43:00Z</dcterms:modified>
</cp:coreProperties>
</file>